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054" w:rsidRDefault="00B06054" w:rsidP="00B06054">
      <w:pPr>
        <w:pStyle w:val="CMT"/>
        <w:jc w:val="center"/>
        <w:rPr>
          <w:vanish w:val="0"/>
          <w:sz w:val="32"/>
          <w:szCs w:val="32"/>
          <w:lang w:val="en-US"/>
        </w:rPr>
      </w:pPr>
      <w:r>
        <w:rPr>
          <w:vanish w:val="0"/>
          <w:sz w:val="32"/>
          <w:szCs w:val="32"/>
          <w:lang w:val="en-US"/>
        </w:rPr>
        <w:t>Supreme SIPS, LLC</w:t>
      </w:r>
    </w:p>
    <w:p w:rsidR="00B06054" w:rsidRDefault="00B06054" w:rsidP="00B06054">
      <w:pPr>
        <w:pStyle w:val="CMT"/>
        <w:jc w:val="center"/>
        <w:rPr>
          <w:vanish w:val="0"/>
          <w:sz w:val="32"/>
          <w:szCs w:val="32"/>
          <w:lang w:val="en-US"/>
        </w:rPr>
      </w:pPr>
      <w:r>
        <w:rPr>
          <w:vanish w:val="0"/>
          <w:sz w:val="32"/>
          <w:szCs w:val="32"/>
          <w:lang w:val="en-US"/>
        </w:rPr>
        <w:t>The Sherwin Williams Company</w:t>
      </w:r>
      <w:bookmarkStart w:id="0" w:name="_GoBack"/>
      <w:bookmarkEnd w:id="0"/>
    </w:p>
    <w:p w:rsidR="00B06054" w:rsidRDefault="00B06054" w:rsidP="00B06054">
      <w:pPr>
        <w:pStyle w:val="CMT"/>
        <w:jc w:val="center"/>
        <w:rPr>
          <w:vanish w:val="0"/>
          <w:sz w:val="32"/>
          <w:szCs w:val="32"/>
          <w:lang w:val="en-US"/>
        </w:rPr>
      </w:pPr>
      <w:r>
        <w:rPr>
          <w:vanish w:val="0"/>
          <w:sz w:val="32"/>
          <w:szCs w:val="32"/>
          <w:lang w:val="en-US"/>
        </w:rPr>
        <w:t>09900 Interior/Exterior Painting</w:t>
      </w:r>
    </w:p>
    <w:p w:rsidR="00B06054" w:rsidRPr="00B06054" w:rsidRDefault="00B06054" w:rsidP="00B06054">
      <w:pPr>
        <w:pStyle w:val="CMT"/>
        <w:jc w:val="center"/>
        <w:rPr>
          <w:vanish w:val="0"/>
          <w:sz w:val="32"/>
          <w:szCs w:val="32"/>
          <w:lang w:val="en-US"/>
        </w:rPr>
      </w:pPr>
      <w:r>
        <w:rPr>
          <w:vanish w:val="0"/>
          <w:sz w:val="32"/>
          <w:szCs w:val="32"/>
          <w:lang w:val="en-US"/>
        </w:rPr>
        <w:t>Commercial Painting Schedule Guide</w:t>
      </w:r>
    </w:p>
    <w:p w:rsidR="00B06054" w:rsidRDefault="00B06054">
      <w:pPr>
        <w:pStyle w:val="CMT"/>
        <w:rPr>
          <w:vanish w:val="0"/>
          <w:sz w:val="22"/>
          <w:szCs w:val="22"/>
        </w:rPr>
      </w:pPr>
    </w:p>
    <w:p w:rsidR="00E9613C" w:rsidRPr="006E3332" w:rsidRDefault="00E9613C">
      <w:pPr>
        <w:pStyle w:val="CMT"/>
        <w:rPr>
          <w:sz w:val="22"/>
          <w:szCs w:val="22"/>
        </w:rPr>
      </w:pPr>
      <w:r w:rsidRPr="006E3332">
        <w:rPr>
          <w:sz w:val="22"/>
          <w:szCs w:val="22"/>
        </w:rPr>
        <w:t>Copyright 2014 by The American Institute of Architects (AIA)</w:t>
      </w:r>
    </w:p>
    <w:p w:rsidR="00E9613C" w:rsidRPr="006E3332" w:rsidRDefault="00E9613C">
      <w:pPr>
        <w:pStyle w:val="CMT"/>
        <w:rPr>
          <w:sz w:val="22"/>
          <w:szCs w:val="22"/>
        </w:rPr>
      </w:pPr>
      <w:r w:rsidRPr="006E3332">
        <w:rPr>
          <w:sz w:val="22"/>
          <w:szCs w:val="22"/>
        </w:rPr>
        <w:t>Exclusively published and distributed by Architectural Computer Services, Inc. (ARCOM) for the AIA</w:t>
      </w:r>
    </w:p>
    <w:p w:rsidR="00E9613C" w:rsidRPr="006E3332" w:rsidRDefault="00B114CA" w:rsidP="00E378A1">
      <w:pPr>
        <w:pStyle w:val="PMCMT"/>
      </w:pPr>
      <w:r w:rsidRPr="000A7F0A">
        <w:t xml:space="preserve"> </w:t>
      </w:r>
      <w:r w:rsidR="00E9613C" w:rsidRPr="006E3332">
        <w:t xml:space="preserve">SECTION </w:t>
      </w:r>
      <w:r w:rsidR="00E9613C" w:rsidRPr="006E3332">
        <w:rPr>
          <w:rStyle w:val="NUM"/>
        </w:rPr>
        <w:t>099123</w:t>
      </w:r>
      <w:r w:rsidR="00E9613C" w:rsidRPr="006E3332">
        <w:t xml:space="preserve"> - </w:t>
      </w:r>
      <w:r w:rsidR="00E9613C" w:rsidRPr="006E3332">
        <w:rPr>
          <w:rStyle w:val="NAM"/>
        </w:rPr>
        <w:t xml:space="preserve"> PAINTING</w:t>
      </w:r>
      <w:r w:rsidR="003B791A">
        <w:rPr>
          <w:rStyle w:val="NAM"/>
        </w:rPr>
        <w:t xml:space="preserve"> INTERIOR &amp; EXTERIOR</w:t>
      </w:r>
    </w:p>
    <w:p w:rsidR="00E9613C" w:rsidRPr="006E3332" w:rsidRDefault="00E9613C">
      <w:pPr>
        <w:pStyle w:val="CMT"/>
        <w:rPr>
          <w:sz w:val="22"/>
          <w:szCs w:val="22"/>
        </w:rPr>
      </w:pPr>
      <w:r w:rsidRPr="006E3332">
        <w:rPr>
          <w:sz w:val="22"/>
          <w:szCs w:val="22"/>
        </w:rPr>
        <w:t>Revise this Section by deleting and inserting text to meet Project-specific requirements.</w:t>
      </w:r>
    </w:p>
    <w:p w:rsidR="00E9613C" w:rsidRPr="006E3332" w:rsidRDefault="00E9613C">
      <w:pPr>
        <w:pStyle w:val="CMT"/>
        <w:rPr>
          <w:sz w:val="22"/>
          <w:szCs w:val="22"/>
        </w:rPr>
      </w:pPr>
      <w:r w:rsidRPr="006E3332">
        <w:rPr>
          <w:sz w:val="22"/>
          <w:szCs w:val="22"/>
        </w:rPr>
        <w:t>This Section uses the term "Architect." Change this term to match that used to identify the design professional as defined in the General and Supplementary Conditions.</w:t>
      </w:r>
    </w:p>
    <w:p w:rsidR="00E9613C" w:rsidRPr="006E3332" w:rsidRDefault="00E9613C">
      <w:pPr>
        <w:pStyle w:val="CMT"/>
        <w:rPr>
          <w:sz w:val="22"/>
          <w:szCs w:val="22"/>
        </w:rPr>
      </w:pPr>
      <w:r w:rsidRPr="006E3332">
        <w:rPr>
          <w:sz w:val="22"/>
          <w:szCs w:val="22"/>
        </w:rPr>
        <w:t>Verify that Section titles referenced in this Section are correct for this Project's Specifications; Section titles may have changed.</w:t>
      </w:r>
    </w:p>
    <w:p w:rsidR="00E9613C" w:rsidRPr="006E3332" w:rsidRDefault="00E9613C">
      <w:pPr>
        <w:pStyle w:val="PRT"/>
        <w:rPr>
          <w:szCs w:val="22"/>
        </w:rPr>
      </w:pPr>
      <w:r w:rsidRPr="006E3332">
        <w:rPr>
          <w:szCs w:val="22"/>
        </w:rPr>
        <w:t>GENERAL</w:t>
      </w:r>
    </w:p>
    <w:p w:rsidR="00E9613C" w:rsidRPr="006E3332" w:rsidRDefault="00E9613C">
      <w:pPr>
        <w:pStyle w:val="ART"/>
        <w:rPr>
          <w:szCs w:val="22"/>
        </w:rPr>
      </w:pPr>
      <w:r w:rsidRPr="006E3332">
        <w:rPr>
          <w:szCs w:val="22"/>
        </w:rPr>
        <w:t>RELATED DOCUMENTS</w:t>
      </w:r>
    </w:p>
    <w:p w:rsidR="00E9613C" w:rsidRPr="006E3332" w:rsidRDefault="00E9613C">
      <w:pPr>
        <w:pStyle w:val="CMT"/>
        <w:rPr>
          <w:sz w:val="22"/>
          <w:szCs w:val="22"/>
        </w:rPr>
      </w:pPr>
      <w:r w:rsidRPr="006E3332">
        <w:rPr>
          <w:sz w:val="22"/>
          <w:szCs w:val="22"/>
        </w:rPr>
        <w:t>Retain or delete this article in all Sections of Project Manual.</w:t>
      </w:r>
    </w:p>
    <w:p w:rsidR="00E9613C" w:rsidRPr="006E3332" w:rsidRDefault="00E9613C">
      <w:pPr>
        <w:pStyle w:val="PR1"/>
        <w:rPr>
          <w:szCs w:val="22"/>
        </w:rPr>
      </w:pPr>
      <w:r w:rsidRPr="006E3332">
        <w:rPr>
          <w:szCs w:val="22"/>
        </w:rPr>
        <w:t>Drawings and general provisions of the Contract, including General and Supplementary Conditions and Division 01 Specification Sections, apply to this Section.</w:t>
      </w:r>
    </w:p>
    <w:p w:rsidR="00E9613C" w:rsidRPr="006E3332" w:rsidRDefault="00E9613C">
      <w:pPr>
        <w:pStyle w:val="ART"/>
        <w:rPr>
          <w:szCs w:val="22"/>
        </w:rPr>
      </w:pPr>
      <w:r w:rsidRPr="006E3332">
        <w:rPr>
          <w:szCs w:val="22"/>
        </w:rPr>
        <w:t>SUMMARY</w:t>
      </w:r>
    </w:p>
    <w:p w:rsidR="00E9613C" w:rsidRPr="006E3332" w:rsidRDefault="00E9613C">
      <w:pPr>
        <w:pStyle w:val="PR1"/>
        <w:rPr>
          <w:szCs w:val="22"/>
        </w:rPr>
      </w:pPr>
      <w:r w:rsidRPr="006E3332">
        <w:rPr>
          <w:szCs w:val="22"/>
        </w:rPr>
        <w:t>Section includes surface preparation and the application of paint systems on [</w:t>
      </w:r>
      <w:r w:rsidRPr="006E3332">
        <w:rPr>
          <w:b/>
          <w:szCs w:val="22"/>
        </w:rPr>
        <w:t>interior substrates.</w:t>
      </w:r>
      <w:r w:rsidRPr="006E3332">
        <w:rPr>
          <w:szCs w:val="22"/>
        </w:rPr>
        <w:t>] [</w:t>
      </w:r>
      <w:r w:rsidRPr="006E3332">
        <w:rPr>
          <w:b/>
          <w:szCs w:val="22"/>
        </w:rPr>
        <w:t>the following interior substrates:</w:t>
      </w:r>
      <w:r w:rsidRPr="006E3332">
        <w:rPr>
          <w:szCs w:val="22"/>
        </w:rPr>
        <w:t>]</w:t>
      </w:r>
    </w:p>
    <w:p w:rsidR="00E9613C" w:rsidRPr="006E3332" w:rsidRDefault="00E378A1">
      <w:pPr>
        <w:pStyle w:val="PR2"/>
        <w:spacing w:before="240"/>
        <w:rPr>
          <w:szCs w:val="22"/>
        </w:rPr>
      </w:pPr>
      <w:r>
        <w:rPr>
          <w:szCs w:val="22"/>
        </w:rPr>
        <w:t>MgO Board</w:t>
      </w:r>
    </w:p>
    <w:p w:rsidR="00E9613C" w:rsidRPr="006E3332" w:rsidRDefault="00E9613C">
      <w:pPr>
        <w:pStyle w:val="CMT"/>
        <w:rPr>
          <w:sz w:val="22"/>
          <w:szCs w:val="22"/>
        </w:rPr>
      </w:pPr>
      <w:r w:rsidRPr="006E3332">
        <w:rPr>
          <w:sz w:val="22"/>
          <w:szCs w:val="22"/>
        </w:rPr>
        <w:t>Delete "Samples for Initial Selection" Paragraph above if colors and other characteristics are preselected and specified or scheduled. Retain "Samples for Verification" Paragraph below with or without above.</w:t>
      </w:r>
    </w:p>
    <w:p w:rsidR="00E9613C" w:rsidRPr="006E3332" w:rsidRDefault="00E9613C" w:rsidP="00E378A1">
      <w:pPr>
        <w:pStyle w:val="ART"/>
        <w:numPr>
          <w:ilvl w:val="0"/>
          <w:numId w:val="0"/>
        </w:numPr>
        <w:ind w:left="864"/>
        <w:rPr>
          <w:szCs w:val="22"/>
        </w:rPr>
      </w:pPr>
      <w:r w:rsidRPr="006E3332">
        <w:rPr>
          <w:szCs w:val="22"/>
        </w:rPr>
        <w:t>MAINTENANCE MATERIAL SUBMITTALS</w:t>
      </w:r>
    </w:p>
    <w:p w:rsidR="00E9613C" w:rsidRPr="006E3332" w:rsidRDefault="00E9613C">
      <w:pPr>
        <w:pStyle w:val="ART"/>
        <w:rPr>
          <w:szCs w:val="22"/>
        </w:rPr>
      </w:pPr>
      <w:r w:rsidRPr="006E3332">
        <w:rPr>
          <w:szCs w:val="22"/>
        </w:rPr>
        <w:t>QUALITY ASSURANCE</w:t>
      </w:r>
    </w:p>
    <w:p w:rsidR="00E9613C" w:rsidRPr="006E3332" w:rsidRDefault="00E9613C">
      <w:pPr>
        <w:pStyle w:val="PR1"/>
        <w:rPr>
          <w:szCs w:val="22"/>
        </w:rPr>
      </w:pPr>
      <w:r w:rsidRPr="006E3332">
        <w:rPr>
          <w:szCs w:val="22"/>
        </w:rPr>
        <w:t>Mockups: Apply mockups of each paint system indicated and each color and finish selected to verify preliminary selections made under Sample submittals and to demonstrate aesthetic effects and set quality standards for materials and execution.</w:t>
      </w:r>
    </w:p>
    <w:p w:rsidR="00E9613C" w:rsidRPr="006E3332" w:rsidRDefault="00E9613C" w:rsidP="007765E6">
      <w:pPr>
        <w:pStyle w:val="PR2"/>
        <w:spacing w:before="240"/>
      </w:pPr>
      <w:r w:rsidRPr="006E3332">
        <w:t>Architect will select one surface to represent surfaces and conditions for application of each paint system</w:t>
      </w:r>
      <w:r w:rsidR="00ED0675" w:rsidRPr="00ED0675">
        <w:t xml:space="preserve"> </w:t>
      </w:r>
      <w:r w:rsidR="00ED0675" w:rsidRPr="00ED0675">
        <w:rPr>
          <w:szCs w:val="22"/>
        </w:rPr>
        <w:t>specified in Part 3</w:t>
      </w:r>
      <w:r w:rsidRPr="006E3332">
        <w:t>.</w:t>
      </w:r>
    </w:p>
    <w:p w:rsidR="00E9613C" w:rsidRPr="006E3332" w:rsidRDefault="00E9613C">
      <w:pPr>
        <w:pStyle w:val="PR3"/>
        <w:spacing w:before="240"/>
        <w:rPr>
          <w:szCs w:val="22"/>
        </w:rPr>
      </w:pPr>
      <w:r w:rsidRPr="006E3332">
        <w:rPr>
          <w:szCs w:val="22"/>
        </w:rPr>
        <w:t xml:space="preserve">Vertical and Horizontal Surfaces: Provide samples of at least </w:t>
      </w:r>
      <w:r w:rsidRPr="006E3332">
        <w:rPr>
          <w:rStyle w:val="IP"/>
          <w:szCs w:val="22"/>
        </w:rPr>
        <w:t>100 sq. ft.</w:t>
      </w:r>
      <w:r w:rsidRPr="006E3332">
        <w:rPr>
          <w:rStyle w:val="SI"/>
          <w:szCs w:val="22"/>
        </w:rPr>
        <w:t xml:space="preserve"> (9 sq. m)</w:t>
      </w:r>
      <w:r w:rsidRPr="006E3332">
        <w:rPr>
          <w:szCs w:val="22"/>
        </w:rPr>
        <w:t>.</w:t>
      </w:r>
    </w:p>
    <w:p w:rsidR="00E9613C" w:rsidRPr="006E3332" w:rsidRDefault="00E9613C">
      <w:pPr>
        <w:pStyle w:val="PR3"/>
        <w:rPr>
          <w:szCs w:val="22"/>
        </w:rPr>
      </w:pPr>
      <w:r w:rsidRPr="006E3332">
        <w:rPr>
          <w:szCs w:val="22"/>
        </w:rPr>
        <w:t>Other Items: Architect will designate items or areas required.</w:t>
      </w:r>
    </w:p>
    <w:p w:rsidR="00E9613C" w:rsidRPr="006E3332" w:rsidRDefault="00E9613C">
      <w:pPr>
        <w:pStyle w:val="PR2"/>
        <w:spacing w:before="240"/>
        <w:rPr>
          <w:szCs w:val="22"/>
        </w:rPr>
      </w:pPr>
      <w:r w:rsidRPr="006E3332">
        <w:rPr>
          <w:szCs w:val="22"/>
        </w:rPr>
        <w:t>Final approval of color selections will be based on mockups.</w:t>
      </w:r>
    </w:p>
    <w:p w:rsidR="00E9613C" w:rsidRPr="006E3332" w:rsidRDefault="00E9613C">
      <w:pPr>
        <w:pStyle w:val="PR3"/>
        <w:spacing w:before="240"/>
        <w:rPr>
          <w:szCs w:val="22"/>
        </w:rPr>
      </w:pPr>
      <w:r w:rsidRPr="006E3332">
        <w:rPr>
          <w:szCs w:val="22"/>
        </w:rPr>
        <w:t>If preliminary color selections are not approved, apply additional mockups of additional colors selected by Architect at no added cost to Owner.</w:t>
      </w:r>
    </w:p>
    <w:p w:rsidR="00E9613C" w:rsidRPr="006E3332" w:rsidRDefault="00E9613C">
      <w:pPr>
        <w:pStyle w:val="PR2"/>
        <w:spacing w:before="240"/>
        <w:rPr>
          <w:szCs w:val="22"/>
        </w:rPr>
      </w:pPr>
      <w:r w:rsidRPr="006E3332">
        <w:rPr>
          <w:szCs w:val="22"/>
        </w:rPr>
        <w:lastRenderedPageBreak/>
        <w:t>Approval of mockups does not constitute approval of deviations from the Contract Documents contained in mockups unless Architect specifically approves such deviations in writing.</w:t>
      </w:r>
    </w:p>
    <w:p w:rsidR="00E9613C" w:rsidRPr="006E3332" w:rsidRDefault="00E9613C">
      <w:pPr>
        <w:pStyle w:val="CMT"/>
        <w:rPr>
          <w:sz w:val="22"/>
          <w:szCs w:val="22"/>
        </w:rPr>
      </w:pPr>
      <w:r w:rsidRPr="006E3332">
        <w:rPr>
          <w:sz w:val="22"/>
          <w:szCs w:val="22"/>
        </w:rPr>
        <w:t>Retain subparagraph below if the intention is to make an exception to the default requirement in Section 014000 "Quality Requirements" for demolishing and removing mockups.</w:t>
      </w:r>
    </w:p>
    <w:p w:rsidR="00E9613C" w:rsidRPr="006E3332" w:rsidRDefault="00E9613C">
      <w:pPr>
        <w:pStyle w:val="PR2"/>
        <w:rPr>
          <w:szCs w:val="22"/>
        </w:rPr>
      </w:pPr>
      <w:r w:rsidRPr="006E3332">
        <w:rPr>
          <w:szCs w:val="22"/>
        </w:rPr>
        <w:t>Subject to compliance with requirements, approved mockups may become part of the completed Work if undisturbed at time of Substantial Completion.</w:t>
      </w:r>
    </w:p>
    <w:p w:rsidR="00E9613C" w:rsidRPr="006E3332" w:rsidRDefault="00E9613C">
      <w:pPr>
        <w:pStyle w:val="CMT"/>
        <w:rPr>
          <w:sz w:val="22"/>
          <w:szCs w:val="22"/>
        </w:rPr>
      </w:pPr>
      <w:r w:rsidRPr="006E3332">
        <w:rPr>
          <w:sz w:val="22"/>
          <w:szCs w:val="22"/>
        </w:rPr>
        <w:t>If necessary, insert special requirements for fire protection, heating, ventilation, and other conditions for storage areas on-site.</w:t>
      </w:r>
    </w:p>
    <w:p w:rsidR="00E9613C" w:rsidRPr="006E3332" w:rsidRDefault="00E9613C">
      <w:pPr>
        <w:pStyle w:val="ART"/>
        <w:rPr>
          <w:szCs w:val="22"/>
        </w:rPr>
      </w:pPr>
      <w:r w:rsidRPr="006E3332">
        <w:rPr>
          <w:szCs w:val="22"/>
        </w:rPr>
        <w:t>FIELD CONDITIONS</w:t>
      </w:r>
    </w:p>
    <w:p w:rsidR="00E9613C" w:rsidRPr="006E3332" w:rsidRDefault="00E9613C">
      <w:pPr>
        <w:pStyle w:val="PR1"/>
        <w:rPr>
          <w:szCs w:val="22"/>
        </w:rPr>
      </w:pPr>
      <w:r w:rsidRPr="006E3332">
        <w:rPr>
          <w:szCs w:val="22"/>
        </w:rPr>
        <w:t xml:space="preserve">Apply paints only when temperature of surfaces to be painted and ambient air temperatures are between </w:t>
      </w:r>
      <w:r w:rsidRPr="006E3332">
        <w:rPr>
          <w:rStyle w:val="IP"/>
          <w:szCs w:val="22"/>
        </w:rPr>
        <w:t>50 and 95 deg F</w:t>
      </w:r>
      <w:r w:rsidRPr="006E3332">
        <w:rPr>
          <w:rStyle w:val="SI"/>
          <w:szCs w:val="22"/>
        </w:rPr>
        <w:t xml:space="preserve"> (10 and 35 deg C)</w:t>
      </w:r>
      <w:r w:rsidRPr="006E3332">
        <w:rPr>
          <w:szCs w:val="22"/>
        </w:rPr>
        <w:t>.</w:t>
      </w:r>
    </w:p>
    <w:p w:rsidR="00E9613C" w:rsidRPr="006E3332" w:rsidRDefault="00E9613C">
      <w:pPr>
        <w:pStyle w:val="PR1"/>
        <w:rPr>
          <w:szCs w:val="22"/>
        </w:rPr>
      </w:pPr>
      <w:r w:rsidRPr="006E3332">
        <w:rPr>
          <w:szCs w:val="22"/>
        </w:rPr>
        <w:t xml:space="preserve">Do not apply paints when relative humidity exceeds 85 percent; at temperatures less than </w:t>
      </w:r>
      <w:r w:rsidRPr="006E3332">
        <w:rPr>
          <w:rStyle w:val="IP"/>
          <w:szCs w:val="22"/>
        </w:rPr>
        <w:t>5 deg F</w:t>
      </w:r>
      <w:r w:rsidRPr="006E3332">
        <w:rPr>
          <w:rStyle w:val="SI"/>
          <w:szCs w:val="22"/>
        </w:rPr>
        <w:t xml:space="preserve"> (3 deg C)</w:t>
      </w:r>
      <w:r w:rsidRPr="006E3332">
        <w:rPr>
          <w:szCs w:val="22"/>
        </w:rPr>
        <w:t xml:space="preserve"> above the dew point; or to damp or wet surfaces.</w:t>
      </w:r>
    </w:p>
    <w:p w:rsidR="00ED0675" w:rsidRPr="007765E6" w:rsidRDefault="00ED0675" w:rsidP="00ED0675">
      <w:pPr>
        <w:pStyle w:val="CMT"/>
        <w:rPr>
          <w:sz w:val="22"/>
          <w:szCs w:val="22"/>
        </w:rPr>
      </w:pPr>
      <w:r w:rsidRPr="007765E6">
        <w:rPr>
          <w:sz w:val="22"/>
          <w:szCs w:val="22"/>
        </w:rPr>
        <w:t>Retain one of two "Lead Paint" paragraphs below for applicable renovation projects, or remove all references to lead paint. Coordinate statements with the General and Supplementary Conditions.</w:t>
      </w:r>
    </w:p>
    <w:p w:rsidR="00ED0675" w:rsidRPr="00117F47" w:rsidRDefault="00ED0675" w:rsidP="007765E6">
      <w:pPr>
        <w:pStyle w:val="PR1"/>
      </w:pPr>
      <w:r w:rsidRPr="00117F47">
        <w:t>Lead Paint: It is not expected that lead paint will be encountered in the Work.</w:t>
      </w:r>
    </w:p>
    <w:p w:rsidR="00ED0675" w:rsidRPr="007765E6" w:rsidRDefault="00ED0675" w:rsidP="00ED0675">
      <w:pPr>
        <w:pStyle w:val="CMT"/>
        <w:rPr>
          <w:sz w:val="22"/>
          <w:szCs w:val="22"/>
        </w:rPr>
      </w:pPr>
      <w:r w:rsidRPr="007765E6">
        <w:rPr>
          <w:sz w:val="22"/>
          <w:szCs w:val="22"/>
        </w:rPr>
        <w:t>Retain subparagraph below to cover instances where lead paint is unexpectedly found and must be remediated. See the General Conditions for additional requirements on lead paint.</w:t>
      </w:r>
    </w:p>
    <w:p w:rsidR="00ED0675" w:rsidRPr="00117F47" w:rsidRDefault="00ED0675" w:rsidP="00ED0675">
      <w:pPr>
        <w:pStyle w:val="PR2"/>
        <w:spacing w:before="240"/>
      </w:pPr>
      <w:r w:rsidRPr="00117F47">
        <w:t>If suspected lead paint is encountered, do not disturb; immediately notify Architect and Owner.</w:t>
      </w:r>
    </w:p>
    <w:p w:rsidR="00ED0675" w:rsidRPr="00117F47" w:rsidRDefault="00ED0675" w:rsidP="00ED0675">
      <w:pPr>
        <w:pStyle w:val="PR1"/>
      </w:pPr>
      <w:r w:rsidRPr="00117F47">
        <w:t>Lead Paint: Lead paint [</w:t>
      </w:r>
      <w:r w:rsidRPr="00117F47">
        <w:rPr>
          <w:b/>
        </w:rPr>
        <w:t>is</w:t>
      </w:r>
      <w:r w:rsidRPr="00117F47">
        <w:t>] [</w:t>
      </w:r>
      <w:r w:rsidRPr="00117F47">
        <w:rPr>
          <w:b/>
        </w:rPr>
        <w:t>may be</w:t>
      </w:r>
      <w:r w:rsidRPr="00117F47">
        <w:t>] present in buildings and structures to be painted. A report on the presence of lead paint is on file for review and use. Examine report to become aware of locations where lead paint is present.</w:t>
      </w:r>
    </w:p>
    <w:p w:rsidR="00ED0675" w:rsidRPr="007765E6" w:rsidRDefault="00ED0675" w:rsidP="00ED0675">
      <w:pPr>
        <w:pStyle w:val="CMT"/>
        <w:rPr>
          <w:sz w:val="22"/>
          <w:szCs w:val="22"/>
        </w:rPr>
      </w:pPr>
      <w:r w:rsidRPr="007765E6">
        <w:rPr>
          <w:sz w:val="22"/>
          <w:szCs w:val="22"/>
        </w:rPr>
        <w:t>Retain first subparagraph below if preparation of surfaces known or suspected to include lead paint is part of the Work of this Contract. Consult a professional liability insurance carrier for current recommendations. Indemnification and a waiver of claims may be required from Owner as a condition for providing services related to lead paint remediation.</w:t>
      </w:r>
    </w:p>
    <w:p w:rsidR="00ED0675" w:rsidRPr="00117F47" w:rsidRDefault="00ED0675" w:rsidP="00ED0675">
      <w:pPr>
        <w:pStyle w:val="PR2"/>
        <w:spacing w:before="240"/>
      </w:pPr>
      <w:r w:rsidRPr="00117F47">
        <w:t>Do not disturb lead paint or items suspected of containing hazardous materials except under procedures specified.</w:t>
      </w:r>
    </w:p>
    <w:p w:rsidR="00ED0675" w:rsidRPr="00117F47" w:rsidRDefault="00ED0675" w:rsidP="00ED0675">
      <w:pPr>
        <w:pStyle w:val="PR2"/>
      </w:pPr>
      <w:r w:rsidRPr="00117F47">
        <w:t>Perform preparation for painting of substrates known to include lead paint in accordance with EPA Renovation, Repair and Painting Rule and additional requirements of authorities having jurisdiction.</w:t>
      </w:r>
    </w:p>
    <w:p w:rsidR="00E9613C" w:rsidRPr="006E3332" w:rsidRDefault="00E9613C">
      <w:pPr>
        <w:pStyle w:val="PRT"/>
        <w:rPr>
          <w:szCs w:val="22"/>
        </w:rPr>
      </w:pPr>
      <w:r w:rsidRPr="006E3332">
        <w:rPr>
          <w:szCs w:val="22"/>
        </w:rPr>
        <w:t>PRODUCTS</w:t>
      </w:r>
    </w:p>
    <w:p w:rsidR="00E9613C" w:rsidRPr="006E3332" w:rsidRDefault="00E9613C">
      <w:pPr>
        <w:pStyle w:val="CMT"/>
        <w:rPr>
          <w:sz w:val="22"/>
          <w:szCs w:val="22"/>
        </w:rPr>
      </w:pPr>
      <w:r w:rsidRPr="006E3332">
        <w:rPr>
          <w:sz w:val="22"/>
          <w:szCs w:val="22"/>
        </w:rPr>
        <w:t>Manufacturers and products listed in SpecAgent and Masterworks Paragraph Builder are neither recommended nor endorsed by the AIA or ARCOM. Before inserting names, verify that manufacturers and products listed there comply with requirements retained or revised in descriptions and are both available and suitable for the intended applications. For definitions of terms and requirements for Contractor's product selection, see Section 016000 "Product Requirements."</w:t>
      </w:r>
    </w:p>
    <w:p w:rsidR="00E9613C" w:rsidRPr="006E3332" w:rsidRDefault="00E9613C">
      <w:pPr>
        <w:pStyle w:val="ART"/>
        <w:rPr>
          <w:szCs w:val="22"/>
        </w:rPr>
      </w:pPr>
      <w:r w:rsidRPr="006E3332">
        <w:rPr>
          <w:szCs w:val="22"/>
        </w:rPr>
        <w:t>MANUFACTURERS</w:t>
      </w:r>
    </w:p>
    <w:p w:rsidR="00777BB0" w:rsidRDefault="00777BB0" w:rsidP="00777BB0">
      <w:pPr>
        <w:pStyle w:val="PR1"/>
      </w:pPr>
      <w:r>
        <w:t xml:space="preserve">Basis-of-Design Product: Subject to compliance with requirements, provide </w:t>
      </w:r>
      <w:r w:rsidRPr="00E378A1">
        <w:rPr>
          <w:rStyle w:val="Hyperlink"/>
        </w:rPr>
        <w:t>Sherwin-Williams Company</w:t>
      </w:r>
      <w:r w:rsidR="00E378A1">
        <w:rPr>
          <w:rStyle w:val="Hyperlink"/>
        </w:rPr>
        <w:t xml:space="preserve"> </w:t>
      </w:r>
      <w:r w:rsidR="009F1D6D">
        <w:t>;</w:t>
      </w:r>
      <w:r>
        <w:t xml:space="preserve"> pr</w:t>
      </w:r>
      <w:r w:rsidR="00E378A1">
        <w:t>oducts indicated</w:t>
      </w:r>
      <w:r>
        <w:t>:</w:t>
      </w:r>
    </w:p>
    <w:p w:rsidR="00E9613C" w:rsidRPr="006E3332" w:rsidRDefault="00E9613C">
      <w:pPr>
        <w:pStyle w:val="CMT"/>
        <w:rPr>
          <w:sz w:val="22"/>
          <w:szCs w:val="22"/>
        </w:rPr>
      </w:pPr>
      <w:r w:rsidRPr="006E3332">
        <w:rPr>
          <w:sz w:val="22"/>
          <w:szCs w:val="22"/>
        </w:rPr>
        <w:t>Retain "Products" Paragraph below and insert lists of manufacturers and products in Interior Painting Schedule to require specific products or a comparable product from other manufacturers.</w:t>
      </w:r>
    </w:p>
    <w:p w:rsidR="00E9613C" w:rsidRPr="006E3332" w:rsidRDefault="00E9613C">
      <w:pPr>
        <w:pStyle w:val="CMT"/>
        <w:rPr>
          <w:sz w:val="22"/>
          <w:szCs w:val="22"/>
        </w:rPr>
      </w:pPr>
      <w:r w:rsidRPr="006E3332">
        <w:rPr>
          <w:sz w:val="22"/>
          <w:szCs w:val="22"/>
        </w:rPr>
        <w:t>See lists of products currently approved by MPI in its "MPI Approved Products Lists." See "Writing Guide" Article in the Evaluations for further discussion.</w:t>
      </w:r>
    </w:p>
    <w:p w:rsidR="00251715" w:rsidRPr="00473FC0" w:rsidRDefault="00251715" w:rsidP="00251715">
      <w:pPr>
        <w:pStyle w:val="PR1"/>
      </w:pPr>
      <w:r w:rsidRPr="00473FC0">
        <w:t>.</w:t>
      </w:r>
    </w:p>
    <w:p w:rsidR="00251715" w:rsidRDefault="00251715" w:rsidP="00251715">
      <w:pPr>
        <w:pStyle w:val="PR2"/>
        <w:spacing w:before="240"/>
      </w:pPr>
      <w:r w:rsidRPr="00117F47">
        <w:t>Manufacturer's designations listed on a separate color schedule are for color reference only and do not indicate prior approval</w:t>
      </w:r>
      <w:r>
        <w:t>.</w:t>
      </w:r>
    </w:p>
    <w:p w:rsidR="00E9613C" w:rsidRPr="006E3332" w:rsidRDefault="00E9613C">
      <w:pPr>
        <w:pStyle w:val="ART"/>
        <w:rPr>
          <w:szCs w:val="22"/>
        </w:rPr>
      </w:pPr>
      <w:r w:rsidRPr="006E3332">
        <w:rPr>
          <w:szCs w:val="22"/>
        </w:rPr>
        <w:t>PAINT, GENERAL</w:t>
      </w:r>
    </w:p>
    <w:p w:rsidR="00E9613C" w:rsidRPr="006E3332" w:rsidRDefault="00E9613C">
      <w:pPr>
        <w:pStyle w:val="PR1"/>
        <w:rPr>
          <w:szCs w:val="22"/>
        </w:rPr>
      </w:pPr>
      <w:r w:rsidRPr="006E3332">
        <w:rPr>
          <w:szCs w:val="22"/>
        </w:rPr>
        <w:t>Material Compatibility:</w:t>
      </w:r>
    </w:p>
    <w:p w:rsidR="00E9613C" w:rsidRPr="006E3332" w:rsidRDefault="00E9613C">
      <w:pPr>
        <w:pStyle w:val="CMT"/>
        <w:rPr>
          <w:sz w:val="22"/>
          <w:szCs w:val="22"/>
        </w:rPr>
      </w:pPr>
      <w:r w:rsidRPr="006E3332">
        <w:rPr>
          <w:sz w:val="22"/>
          <w:szCs w:val="22"/>
        </w:rPr>
        <w:t xml:space="preserve">Systems could fail if paints used for individual coats are incompatible. </w:t>
      </w:r>
    </w:p>
    <w:p w:rsidR="00E9613C" w:rsidRPr="006E3332" w:rsidRDefault="00595572">
      <w:pPr>
        <w:pStyle w:val="PR2"/>
        <w:spacing w:before="240"/>
        <w:rPr>
          <w:szCs w:val="22"/>
        </w:rPr>
      </w:pPr>
      <w:r>
        <w:rPr>
          <w:szCs w:val="22"/>
        </w:rPr>
        <w:t>Provide m</w:t>
      </w:r>
      <w:r w:rsidR="00E9613C" w:rsidRPr="006E3332">
        <w:rPr>
          <w:szCs w:val="22"/>
        </w:rPr>
        <w:t xml:space="preserve">aterials for use within each paint system </w:t>
      </w:r>
      <w:r>
        <w:rPr>
          <w:szCs w:val="22"/>
        </w:rPr>
        <w:t xml:space="preserve">that are </w:t>
      </w:r>
      <w:r w:rsidR="00E9613C" w:rsidRPr="006E3332">
        <w:rPr>
          <w:szCs w:val="22"/>
        </w:rPr>
        <w:t>compatible with one another and substrates indicated, under conditions of service and application as demonstrated by manufacturer, based on testing and field experience.</w:t>
      </w:r>
    </w:p>
    <w:p w:rsidR="00E9613C" w:rsidRPr="006E3332" w:rsidRDefault="00E9613C">
      <w:pPr>
        <w:pStyle w:val="PR2"/>
        <w:rPr>
          <w:szCs w:val="22"/>
        </w:rPr>
      </w:pPr>
      <w:r w:rsidRPr="006E3332">
        <w:rPr>
          <w:szCs w:val="22"/>
        </w:rPr>
        <w:lastRenderedPageBreak/>
        <w:t xml:space="preserve">For each coat in a paint system, </w:t>
      </w:r>
      <w:r w:rsidR="00595572">
        <w:rPr>
          <w:szCs w:val="22"/>
        </w:rPr>
        <w:t xml:space="preserve">provide </w:t>
      </w:r>
      <w:r w:rsidRPr="006E3332">
        <w:rPr>
          <w:szCs w:val="22"/>
        </w:rPr>
        <w:t xml:space="preserve">products recommended in writing by manufacturers </w:t>
      </w:r>
      <w:r w:rsidR="00595572">
        <w:rPr>
          <w:szCs w:val="22"/>
        </w:rPr>
        <w:t xml:space="preserve">of topcoat </w:t>
      </w:r>
      <w:r w:rsidRPr="006E3332">
        <w:rPr>
          <w:szCs w:val="22"/>
        </w:rPr>
        <w:t>for use in paint system and on substrate indicated.</w:t>
      </w:r>
    </w:p>
    <w:p w:rsidR="00777BB0" w:rsidRPr="007765E6" w:rsidRDefault="00595572" w:rsidP="00777BB0">
      <w:pPr>
        <w:pStyle w:val="CMT"/>
        <w:rPr>
          <w:sz w:val="22"/>
          <w:szCs w:val="22"/>
        </w:rPr>
      </w:pPr>
      <w:r w:rsidRPr="007765E6">
        <w:rPr>
          <w:sz w:val="22"/>
          <w:szCs w:val="22"/>
          <w:lang w:val="en-US"/>
        </w:rPr>
        <w:t xml:space="preserve">Retain option in </w:t>
      </w:r>
      <w:r w:rsidR="00777BB0" w:rsidRPr="007765E6">
        <w:rPr>
          <w:sz w:val="22"/>
          <w:szCs w:val="22"/>
        </w:rPr>
        <w:t>"</w:t>
      </w:r>
      <w:bookmarkStart w:id="1" w:name="userSustainabilityTopic_211_1"/>
      <w:r w:rsidR="00777BB0" w:rsidRPr="007765E6">
        <w:rPr>
          <w:sz w:val="22"/>
          <w:szCs w:val="22"/>
        </w:rPr>
        <w:t xml:space="preserve">VOC Content" Paragraph below </w:t>
      </w:r>
      <w:r w:rsidRPr="007765E6">
        <w:rPr>
          <w:sz w:val="22"/>
          <w:szCs w:val="22"/>
          <w:lang w:val="en-US"/>
        </w:rPr>
        <w:t xml:space="preserve">if required for </w:t>
      </w:r>
      <w:r w:rsidR="00777BB0" w:rsidRPr="007765E6">
        <w:rPr>
          <w:sz w:val="22"/>
          <w:szCs w:val="22"/>
        </w:rPr>
        <w:t>LEED 2009 NC, CI, and CS Credit IEQ 4.2</w:t>
      </w:r>
      <w:r w:rsidRPr="007765E6">
        <w:rPr>
          <w:sz w:val="22"/>
          <w:szCs w:val="22"/>
          <w:lang w:val="en-US"/>
        </w:rPr>
        <w:t>; coordinate with products</w:t>
      </w:r>
      <w:r w:rsidR="00777BB0" w:rsidRPr="007765E6">
        <w:rPr>
          <w:sz w:val="22"/>
          <w:szCs w:val="22"/>
        </w:rPr>
        <w:t>.</w:t>
      </w:r>
    </w:p>
    <w:bookmarkEnd w:id="1"/>
    <w:p w:rsidR="00E9613C" w:rsidRPr="006E3332" w:rsidRDefault="00E9613C">
      <w:pPr>
        <w:pStyle w:val="PRT"/>
        <w:rPr>
          <w:szCs w:val="22"/>
        </w:rPr>
      </w:pPr>
      <w:r w:rsidRPr="006E3332">
        <w:rPr>
          <w:szCs w:val="22"/>
        </w:rPr>
        <w:t>EXECUTION</w:t>
      </w:r>
    </w:p>
    <w:p w:rsidR="00E9613C" w:rsidRPr="006E3332" w:rsidRDefault="00E9613C">
      <w:pPr>
        <w:pStyle w:val="ART"/>
        <w:rPr>
          <w:szCs w:val="22"/>
        </w:rPr>
      </w:pPr>
      <w:r w:rsidRPr="006E3332">
        <w:rPr>
          <w:szCs w:val="22"/>
        </w:rPr>
        <w:t>PREPARATION</w:t>
      </w:r>
    </w:p>
    <w:p w:rsidR="00E9613C" w:rsidRPr="006E3332" w:rsidRDefault="00E9613C">
      <w:pPr>
        <w:pStyle w:val="PR1"/>
        <w:rPr>
          <w:szCs w:val="22"/>
        </w:rPr>
      </w:pPr>
      <w:r w:rsidRPr="006E3332">
        <w:rPr>
          <w:szCs w:val="22"/>
        </w:rPr>
        <w:t xml:space="preserve">Comply with manufacturer's written instructions and </w:t>
      </w:r>
      <w:r w:rsidR="00E378A1">
        <w:rPr>
          <w:szCs w:val="22"/>
        </w:rPr>
        <w:t>recommendations a</w:t>
      </w:r>
      <w:r w:rsidRPr="006E3332">
        <w:rPr>
          <w:szCs w:val="22"/>
        </w:rPr>
        <w:t>pplicable to substrates indicated.</w:t>
      </w:r>
    </w:p>
    <w:p w:rsidR="00E9613C" w:rsidRPr="006E3332" w:rsidRDefault="00E9613C">
      <w:pPr>
        <w:pStyle w:val="PR1"/>
        <w:rPr>
          <w:szCs w:val="22"/>
        </w:rPr>
      </w:pPr>
      <w:r w:rsidRPr="006E3332">
        <w:rPr>
          <w:szCs w:val="22"/>
        </w:rPr>
        <w:t>Clean substrates of substances that could impair bond of paints, including dust, dirt, oil, grease, and incompatible paints and encapsulants.</w:t>
      </w:r>
    </w:p>
    <w:p w:rsidR="00E9613C" w:rsidRPr="006E3332" w:rsidRDefault="00E9613C">
      <w:pPr>
        <w:pStyle w:val="CMT"/>
        <w:rPr>
          <w:sz w:val="22"/>
          <w:szCs w:val="22"/>
        </w:rPr>
      </w:pPr>
      <w:r w:rsidRPr="006E3332">
        <w:rPr>
          <w:sz w:val="22"/>
          <w:szCs w:val="22"/>
        </w:rPr>
        <w:t>Coordination of shop-applied prime coats with topcoats is critical.</w:t>
      </w:r>
    </w:p>
    <w:p w:rsidR="00E9613C" w:rsidRPr="006E3332" w:rsidRDefault="00E9613C">
      <w:pPr>
        <w:pStyle w:val="PR2"/>
        <w:spacing w:before="240"/>
        <w:rPr>
          <w:szCs w:val="22"/>
        </w:rPr>
      </w:pPr>
      <w:r w:rsidRPr="006E3332">
        <w:rPr>
          <w:szCs w:val="22"/>
        </w:rPr>
        <w:t>Remove incompatible primers and reprime substrate with compatible primers or apply tie coat as required to produce paint systems indicated.</w:t>
      </w:r>
    </w:p>
    <w:p w:rsidR="00E9613C" w:rsidRPr="006E3332" w:rsidRDefault="00E9613C">
      <w:pPr>
        <w:pStyle w:val="PR1"/>
        <w:rPr>
          <w:szCs w:val="22"/>
        </w:rPr>
      </w:pPr>
      <w:r w:rsidRPr="006E3332">
        <w:rPr>
          <w:szCs w:val="22"/>
        </w:rPr>
        <w:t>Apply paints according to manufacturer's written instructions and to recommendations in "MPI Manual."</w:t>
      </w:r>
    </w:p>
    <w:p w:rsidR="00E9613C" w:rsidRPr="006E3332" w:rsidRDefault="00E9613C">
      <w:pPr>
        <w:pStyle w:val="CMT"/>
        <w:rPr>
          <w:sz w:val="22"/>
          <w:szCs w:val="22"/>
        </w:rPr>
      </w:pPr>
      <w:r w:rsidRPr="006E3332">
        <w:rPr>
          <w:sz w:val="22"/>
          <w:szCs w:val="22"/>
        </w:rPr>
        <w:t>If Project requires restricted application method (e.g., using only spray or rollers), revise first subparagraph below accordingly.</w:t>
      </w:r>
    </w:p>
    <w:p w:rsidR="00E9613C" w:rsidRPr="006E3332" w:rsidRDefault="00E9613C">
      <w:pPr>
        <w:pStyle w:val="PR2"/>
        <w:spacing w:before="240"/>
        <w:rPr>
          <w:szCs w:val="22"/>
        </w:rPr>
      </w:pPr>
      <w:r w:rsidRPr="006E3332">
        <w:rPr>
          <w:szCs w:val="22"/>
        </w:rPr>
        <w:t>Use applicators and techniques suited for paint and substrate indicated.</w:t>
      </w:r>
    </w:p>
    <w:p w:rsidR="00E9613C" w:rsidRPr="006E3332" w:rsidRDefault="00E9613C">
      <w:pPr>
        <w:pStyle w:val="PR2"/>
        <w:rPr>
          <w:szCs w:val="22"/>
        </w:rPr>
      </w:pPr>
      <w:r w:rsidRPr="006E3332">
        <w:rPr>
          <w:szCs w:val="22"/>
        </w:rPr>
        <w:t>Paint surfaces behind movable equipment and furniture same as similar exposed surfaces. Before final installation, paint surfaces behind permanently fixed equipment or furniture with prime coat only.</w:t>
      </w:r>
    </w:p>
    <w:p w:rsidR="00E9613C" w:rsidRPr="006E3332" w:rsidRDefault="00E9613C">
      <w:pPr>
        <w:pStyle w:val="PR2"/>
        <w:rPr>
          <w:szCs w:val="22"/>
        </w:rPr>
      </w:pPr>
      <w:r w:rsidRPr="006E3332">
        <w:rPr>
          <w:szCs w:val="22"/>
        </w:rPr>
        <w:t>Paint front and backsides of access panels, removable or hinged covers, and similar hinged items to match exposed surfaces.</w:t>
      </w:r>
    </w:p>
    <w:p w:rsidR="00E9613C" w:rsidRPr="006E3332" w:rsidRDefault="00E9613C">
      <w:pPr>
        <w:pStyle w:val="PR2"/>
        <w:rPr>
          <w:szCs w:val="22"/>
        </w:rPr>
      </w:pPr>
      <w:r w:rsidRPr="006E3332">
        <w:rPr>
          <w:szCs w:val="22"/>
        </w:rPr>
        <w:t>Do not paint over labels of independent testing agencies or equipment name, identification, performance rating, or nomenclature plates.</w:t>
      </w:r>
    </w:p>
    <w:p w:rsidR="00E9613C" w:rsidRPr="006E3332" w:rsidRDefault="00E9613C">
      <w:pPr>
        <w:pStyle w:val="PR2"/>
        <w:rPr>
          <w:szCs w:val="22"/>
        </w:rPr>
      </w:pPr>
      <w:r w:rsidRPr="006E3332">
        <w:rPr>
          <w:szCs w:val="22"/>
        </w:rPr>
        <w:t>Primers specified in painting schedules may be omitted on items that are factory primed or factory finished if acceptable to topcoat manufacturers.</w:t>
      </w:r>
    </w:p>
    <w:p w:rsidR="00E9613C" w:rsidRPr="006E3332" w:rsidRDefault="00E9613C">
      <w:pPr>
        <w:pStyle w:val="CMT"/>
        <w:rPr>
          <w:sz w:val="22"/>
          <w:szCs w:val="22"/>
        </w:rPr>
      </w:pPr>
      <w:r w:rsidRPr="006E3332">
        <w:rPr>
          <w:sz w:val="22"/>
          <w:szCs w:val="22"/>
        </w:rPr>
        <w:t>If tinting is not required, delete first paragraph below. Different tints show through as topcoat erodes.</w:t>
      </w:r>
    </w:p>
    <w:p w:rsidR="00E9613C" w:rsidRPr="006E3332" w:rsidRDefault="00E9613C">
      <w:pPr>
        <w:pStyle w:val="ART"/>
        <w:rPr>
          <w:szCs w:val="22"/>
        </w:rPr>
      </w:pPr>
      <w:r w:rsidRPr="006E3332">
        <w:rPr>
          <w:szCs w:val="22"/>
        </w:rPr>
        <w:t>FIELD QUALITY CONTROL</w:t>
      </w:r>
    </w:p>
    <w:p w:rsidR="00E9613C" w:rsidRPr="006E3332" w:rsidRDefault="00E9613C">
      <w:pPr>
        <w:pStyle w:val="PR1"/>
        <w:rPr>
          <w:szCs w:val="22"/>
        </w:rPr>
      </w:pPr>
      <w:r w:rsidRPr="006E3332">
        <w:rPr>
          <w:szCs w:val="22"/>
        </w:rPr>
        <w:t>Dry Film Thickness Testing: Owner may engage the services of a qualified testing and inspecting agency to inspect and test paint for dry film thickness.</w:t>
      </w:r>
    </w:p>
    <w:p w:rsidR="00E9613C" w:rsidRPr="006E3332" w:rsidRDefault="00E9613C">
      <w:pPr>
        <w:pStyle w:val="PR2"/>
        <w:spacing w:before="240"/>
        <w:rPr>
          <w:szCs w:val="22"/>
        </w:rPr>
      </w:pPr>
      <w:r w:rsidRPr="006E3332">
        <w:rPr>
          <w:szCs w:val="22"/>
        </w:rPr>
        <w:t>Contractor shall touch up and restore painted surfaces damaged by testing.</w:t>
      </w:r>
    </w:p>
    <w:p w:rsidR="00F144F7" w:rsidRPr="00F144F7" w:rsidRDefault="00E9613C" w:rsidP="00F144F7">
      <w:pPr>
        <w:pStyle w:val="PR2"/>
        <w:rPr>
          <w:szCs w:val="22"/>
        </w:rPr>
      </w:pPr>
      <w:r w:rsidRPr="006E3332">
        <w:rPr>
          <w:szCs w:val="22"/>
        </w:rPr>
        <w:t>If test results show that dry film thickness of applied paint does not comply with paint manufacturer's written recommendations, Contractor shall pay for testing and apply additional coats as needed to provide dry film thickness that complies with paint manufacturer's written recommendations.</w:t>
      </w:r>
    </w:p>
    <w:p w:rsidR="00560B0E" w:rsidRDefault="00E378A1" w:rsidP="00E378A1">
      <w:pPr>
        <w:pStyle w:val="PR1"/>
        <w:rPr>
          <w:szCs w:val="22"/>
        </w:rPr>
      </w:pPr>
      <w:r>
        <w:rPr>
          <w:szCs w:val="22"/>
        </w:rPr>
        <w:t>Painting Schedule Interior</w:t>
      </w:r>
    </w:p>
    <w:p w:rsidR="00F144F7" w:rsidRDefault="00F144F7" w:rsidP="00F144F7">
      <w:pPr>
        <w:tabs>
          <w:tab w:val="left" w:pos="864"/>
        </w:tabs>
        <w:suppressAutoHyphens/>
        <w:spacing w:before="240"/>
        <w:ind w:left="864"/>
        <w:jc w:val="both"/>
        <w:outlineLvl w:val="2"/>
        <w:rPr>
          <w:szCs w:val="22"/>
        </w:rPr>
      </w:pPr>
    </w:p>
    <w:p w:rsidR="00560B0E" w:rsidRPr="00F144F7" w:rsidRDefault="00E378A1" w:rsidP="00F144F7">
      <w:pPr>
        <w:tabs>
          <w:tab w:val="left" w:pos="864"/>
        </w:tabs>
        <w:suppressAutoHyphens/>
        <w:spacing w:before="240"/>
        <w:jc w:val="both"/>
        <w:outlineLvl w:val="2"/>
        <w:rPr>
          <w:b/>
        </w:rPr>
      </w:pPr>
      <w:r w:rsidRPr="00F144F7">
        <w:rPr>
          <w:b/>
        </w:rPr>
        <w:t xml:space="preserve">MgO </w:t>
      </w:r>
      <w:r w:rsidR="00560B0E" w:rsidRPr="00F144F7">
        <w:rPr>
          <w:b/>
        </w:rPr>
        <w:t>Substrates:</w:t>
      </w:r>
      <w:r w:rsidRPr="00F144F7">
        <w:rPr>
          <w:b/>
        </w:rPr>
        <w:t xml:space="preserve"> Commercial Grade Systems</w:t>
      </w:r>
      <w:r w:rsidR="00F144F7" w:rsidRPr="00F144F7">
        <w:rPr>
          <w:b/>
        </w:rPr>
        <w:t xml:space="preserve"> Interior Painting Schedule Options</w:t>
      </w:r>
    </w:p>
    <w:p w:rsidR="00560B0E" w:rsidRPr="00560B0E" w:rsidRDefault="00560B0E" w:rsidP="00560B0E">
      <w:pPr>
        <w:numPr>
          <w:ilvl w:val="5"/>
          <w:numId w:val="1"/>
        </w:numPr>
        <w:suppressAutoHyphens/>
        <w:spacing w:before="240"/>
        <w:jc w:val="both"/>
        <w:outlineLvl w:val="3"/>
      </w:pPr>
      <w:r w:rsidRPr="00560B0E">
        <w:t>Latex System:</w:t>
      </w:r>
      <w:r w:rsidR="00E378A1">
        <w:t xml:space="preserve"> Sheens Available</w:t>
      </w:r>
    </w:p>
    <w:p w:rsidR="00E92F19" w:rsidRDefault="00560B0E" w:rsidP="00560B0E">
      <w:pPr>
        <w:numPr>
          <w:ilvl w:val="6"/>
          <w:numId w:val="1"/>
        </w:numPr>
        <w:suppressAutoHyphens/>
        <w:spacing w:before="240"/>
        <w:jc w:val="both"/>
        <w:outlineLvl w:val="4"/>
      </w:pPr>
      <w:r w:rsidRPr="00560B0E">
        <w:lastRenderedPageBreak/>
        <w:t xml:space="preserve">Prime Coat: Primer, latex, interior: </w:t>
      </w:r>
    </w:p>
    <w:p w:rsidR="00560B0E" w:rsidRPr="00560B0E" w:rsidRDefault="00560B0E" w:rsidP="007765E6">
      <w:pPr>
        <w:pStyle w:val="PR4"/>
        <w:spacing w:before="240"/>
      </w:pPr>
      <w:r w:rsidRPr="00560B0E">
        <w:t xml:space="preserve">S-W </w:t>
      </w:r>
      <w:r w:rsidR="00E378A1">
        <w:t>PrepRite Problock Latex Primer</w:t>
      </w:r>
      <w:r w:rsidRPr="00560B0E">
        <w:t xml:space="preserve">, at </w:t>
      </w:r>
      <w:r w:rsidR="00E92F19">
        <w:rPr>
          <w:color w:val="FF0000"/>
        </w:rPr>
        <w:t>4</w:t>
      </w:r>
      <w:r w:rsidR="00E92F19" w:rsidRPr="007E5DA1">
        <w:rPr>
          <w:color w:val="FF0000"/>
        </w:rPr>
        <w:t>.0 mils</w:t>
      </w:r>
      <w:r w:rsidR="00E92F19" w:rsidRPr="007E5DA1">
        <w:t xml:space="preserve">  wet, </w:t>
      </w:r>
      <w:r w:rsidR="00E92F19">
        <w:rPr>
          <w:color w:val="FF0000"/>
        </w:rPr>
        <w:t>1</w:t>
      </w:r>
      <w:r w:rsidR="00E92F19" w:rsidRPr="007E5DA1">
        <w:rPr>
          <w:color w:val="FF0000"/>
        </w:rPr>
        <w:t>.</w:t>
      </w:r>
      <w:r w:rsidR="00E92F19">
        <w:rPr>
          <w:color w:val="FF0000"/>
        </w:rPr>
        <w:t>0</w:t>
      </w:r>
      <w:r w:rsidR="00E92F19" w:rsidRPr="007E5DA1">
        <w:rPr>
          <w:color w:val="FF0000"/>
        </w:rPr>
        <w:t xml:space="preserve"> mils </w:t>
      </w:r>
      <w:r w:rsidRPr="00560B0E">
        <w:t>dry.</w:t>
      </w:r>
    </w:p>
    <w:p w:rsidR="00E378A1" w:rsidRPr="00560B0E" w:rsidRDefault="00E378A1" w:rsidP="00E378A1">
      <w:pPr>
        <w:tabs>
          <w:tab w:val="left" w:pos="2016"/>
        </w:tabs>
        <w:suppressAutoHyphens/>
        <w:spacing w:before="240"/>
        <w:ind w:left="2016"/>
        <w:jc w:val="both"/>
        <w:outlineLvl w:val="4"/>
      </w:pPr>
    </w:p>
    <w:p w:rsidR="005E610A" w:rsidRPr="00E378A1" w:rsidRDefault="00560B0E" w:rsidP="007765E6">
      <w:pPr>
        <w:pStyle w:val="CMT"/>
        <w:rPr>
          <w:b/>
          <w:sz w:val="22"/>
          <w:szCs w:val="22"/>
        </w:rPr>
      </w:pPr>
      <w:r w:rsidRPr="00E378A1">
        <w:rPr>
          <w:b/>
          <w:sz w:val="22"/>
          <w:szCs w:val="22"/>
        </w:rPr>
        <w:t>Retain one of five "Topcoat" Subparagraphs below based upon the gloss level(s) required for Project; copy and edit this paragraph and subparagraphs for each gloss level system required. Indicate gloss level applications on finish schedules or add application descriptions below. The most common gloss applications are flat for ceilings and soffits and eggshell for walls.</w:t>
      </w:r>
      <w:r w:rsidR="005E610A" w:rsidRPr="00E378A1">
        <w:rPr>
          <w:b/>
          <w:sz w:val="22"/>
          <w:szCs w:val="22"/>
        </w:rPr>
        <w:t xml:space="preserve"> </w:t>
      </w:r>
    </w:p>
    <w:p w:rsidR="00560B0E" w:rsidRPr="00E378A1" w:rsidRDefault="005E610A" w:rsidP="007765E6">
      <w:pPr>
        <w:pStyle w:val="CMT"/>
        <w:rPr>
          <w:b/>
          <w:sz w:val="22"/>
          <w:szCs w:val="22"/>
        </w:rPr>
      </w:pPr>
      <w:r w:rsidRPr="00E378A1">
        <w:rPr>
          <w:b/>
          <w:sz w:val="22"/>
          <w:szCs w:val="22"/>
        </w:rPr>
        <w:t>S-W Zero VOC products can be used in occupied areas without typical odor complaints because of the very low odor during application and drying; they are available in all finishes, and include anti-microbial agents to help control bacterial growth.</w:t>
      </w:r>
    </w:p>
    <w:p w:rsidR="00E92F19" w:rsidRPr="00E378A1" w:rsidRDefault="00560B0E" w:rsidP="00560B0E">
      <w:pPr>
        <w:numPr>
          <w:ilvl w:val="6"/>
          <w:numId w:val="1"/>
        </w:numPr>
        <w:suppressAutoHyphens/>
        <w:jc w:val="both"/>
        <w:outlineLvl w:val="4"/>
        <w:rPr>
          <w:b/>
        </w:rPr>
      </w:pPr>
      <w:r w:rsidRPr="00E378A1">
        <w:rPr>
          <w:b/>
        </w:rPr>
        <w:t xml:space="preserve">Topcoat: Latex, interior, flat: </w:t>
      </w:r>
      <w:r w:rsidR="00F144F7">
        <w:rPr>
          <w:b/>
        </w:rPr>
        <w:t>2 coats</w:t>
      </w:r>
    </w:p>
    <w:p w:rsidR="00560B0E" w:rsidRPr="00560B0E" w:rsidRDefault="00560B0E" w:rsidP="007765E6">
      <w:pPr>
        <w:pStyle w:val="PR4"/>
        <w:spacing w:before="240"/>
      </w:pPr>
      <w:r w:rsidRPr="00560B0E">
        <w:t xml:space="preserve">S-W ProMar 200 Zero VOC Latex Flat, B30-2600 Series, at </w:t>
      </w:r>
      <w:r w:rsidR="0086112F">
        <w:rPr>
          <w:color w:val="FF0000"/>
        </w:rPr>
        <w:t>4</w:t>
      </w:r>
      <w:r w:rsidR="0086112F" w:rsidRPr="007E5DA1">
        <w:rPr>
          <w:color w:val="FF0000"/>
        </w:rPr>
        <w:t>.0 mils</w:t>
      </w:r>
      <w:r w:rsidR="0086112F" w:rsidRPr="007E5DA1">
        <w:t xml:space="preserve"> </w:t>
      </w:r>
      <w:r w:rsidR="0086112F" w:rsidRPr="007E5DA1">
        <w:rPr>
          <w:color w:val="008080"/>
        </w:rPr>
        <w:t>(0.</w:t>
      </w:r>
      <w:r w:rsidR="0086112F">
        <w:rPr>
          <w:color w:val="008080"/>
        </w:rPr>
        <w:t>10</w:t>
      </w:r>
      <w:r w:rsidR="0086112F" w:rsidRPr="007E5DA1">
        <w:rPr>
          <w:color w:val="008080"/>
        </w:rPr>
        <w:t>2 mm)</w:t>
      </w:r>
      <w:r w:rsidR="0086112F" w:rsidRPr="007E5DA1">
        <w:t xml:space="preserve"> wet, </w:t>
      </w:r>
      <w:r w:rsidR="0086112F">
        <w:rPr>
          <w:color w:val="FF0000"/>
        </w:rPr>
        <w:t>1</w:t>
      </w:r>
      <w:r w:rsidR="0086112F" w:rsidRPr="007E5DA1">
        <w:rPr>
          <w:color w:val="FF0000"/>
        </w:rPr>
        <w:t>.</w:t>
      </w:r>
      <w:r w:rsidR="0086112F">
        <w:rPr>
          <w:color w:val="FF0000"/>
        </w:rPr>
        <w:t>6</w:t>
      </w:r>
      <w:r w:rsidR="0086112F" w:rsidRPr="007E5DA1">
        <w:rPr>
          <w:color w:val="FF0000"/>
        </w:rPr>
        <w:t xml:space="preserve"> mils </w:t>
      </w:r>
      <w:r w:rsidR="0086112F">
        <w:rPr>
          <w:color w:val="008080"/>
        </w:rPr>
        <w:t>(0.041</w:t>
      </w:r>
      <w:r w:rsidR="0086112F" w:rsidRPr="007E5DA1">
        <w:rPr>
          <w:color w:val="008080"/>
        </w:rPr>
        <w:t xml:space="preserve"> mm)</w:t>
      </w:r>
      <w:r w:rsidRPr="00560B0E">
        <w:t xml:space="preserve"> dry, per coat.</w:t>
      </w:r>
    </w:p>
    <w:p w:rsidR="00E92F19" w:rsidRPr="00E378A1" w:rsidRDefault="00560B0E" w:rsidP="007765E6">
      <w:pPr>
        <w:numPr>
          <w:ilvl w:val="6"/>
          <w:numId w:val="1"/>
        </w:numPr>
        <w:suppressAutoHyphens/>
        <w:spacing w:before="240"/>
        <w:jc w:val="both"/>
        <w:outlineLvl w:val="4"/>
        <w:rPr>
          <w:b/>
        </w:rPr>
      </w:pPr>
      <w:r w:rsidRPr="00E378A1">
        <w:rPr>
          <w:b/>
        </w:rPr>
        <w:t xml:space="preserve">Topcoat: Latex, interior, low sheen: </w:t>
      </w:r>
    </w:p>
    <w:p w:rsidR="00560B0E" w:rsidRPr="00560B0E" w:rsidRDefault="00560B0E" w:rsidP="007765E6">
      <w:pPr>
        <w:pStyle w:val="PR4"/>
        <w:spacing w:before="240"/>
      </w:pPr>
      <w:r w:rsidRPr="00560B0E">
        <w:t xml:space="preserve">S-W ProMar 200 Zero VOC Latex Low Sheen Enamel, B24-2600 Series, at </w:t>
      </w:r>
      <w:r w:rsidR="0086112F">
        <w:rPr>
          <w:color w:val="FF0000"/>
        </w:rPr>
        <w:t>4</w:t>
      </w:r>
      <w:r w:rsidR="0086112F" w:rsidRPr="007E5DA1">
        <w:rPr>
          <w:color w:val="FF0000"/>
        </w:rPr>
        <w:t>.0 mils</w:t>
      </w:r>
      <w:r w:rsidR="0086112F" w:rsidRPr="007E5DA1">
        <w:t xml:space="preserve"> </w:t>
      </w:r>
      <w:r w:rsidR="0086112F" w:rsidRPr="007E5DA1">
        <w:rPr>
          <w:color w:val="008080"/>
        </w:rPr>
        <w:t>(0.</w:t>
      </w:r>
      <w:r w:rsidR="0086112F">
        <w:rPr>
          <w:color w:val="008080"/>
        </w:rPr>
        <w:t>10</w:t>
      </w:r>
      <w:r w:rsidR="0086112F" w:rsidRPr="007E5DA1">
        <w:rPr>
          <w:color w:val="008080"/>
        </w:rPr>
        <w:t>2 mm)</w:t>
      </w:r>
      <w:r w:rsidR="0086112F" w:rsidRPr="007E5DA1">
        <w:t xml:space="preserve"> wet, </w:t>
      </w:r>
      <w:r w:rsidR="0086112F">
        <w:rPr>
          <w:color w:val="FF0000"/>
        </w:rPr>
        <w:t>1</w:t>
      </w:r>
      <w:r w:rsidR="0086112F" w:rsidRPr="007E5DA1">
        <w:rPr>
          <w:color w:val="FF0000"/>
        </w:rPr>
        <w:t>.</w:t>
      </w:r>
      <w:r w:rsidR="0086112F">
        <w:rPr>
          <w:color w:val="FF0000"/>
        </w:rPr>
        <w:t>6</w:t>
      </w:r>
      <w:r w:rsidR="0086112F" w:rsidRPr="007E5DA1">
        <w:rPr>
          <w:color w:val="FF0000"/>
        </w:rPr>
        <w:t xml:space="preserve"> mils </w:t>
      </w:r>
      <w:r w:rsidR="0086112F">
        <w:rPr>
          <w:color w:val="008080"/>
        </w:rPr>
        <w:t>(0.041</w:t>
      </w:r>
      <w:r w:rsidR="0086112F" w:rsidRPr="007E5DA1">
        <w:rPr>
          <w:color w:val="008080"/>
        </w:rPr>
        <w:t xml:space="preserve"> mm)</w:t>
      </w:r>
      <w:r w:rsidRPr="00560B0E">
        <w:t xml:space="preserve"> dry, per coat.</w:t>
      </w:r>
    </w:p>
    <w:p w:rsidR="00E92F19" w:rsidRDefault="00560B0E" w:rsidP="007765E6">
      <w:pPr>
        <w:numPr>
          <w:ilvl w:val="6"/>
          <w:numId w:val="1"/>
        </w:numPr>
        <w:suppressAutoHyphens/>
        <w:spacing w:before="240"/>
        <w:jc w:val="both"/>
        <w:outlineLvl w:val="4"/>
      </w:pPr>
      <w:r w:rsidRPr="00E378A1">
        <w:rPr>
          <w:b/>
        </w:rPr>
        <w:t>Topcoat: Latex, interior, eggshell</w:t>
      </w:r>
      <w:r w:rsidRPr="00560B0E">
        <w:t xml:space="preserve">: </w:t>
      </w:r>
    </w:p>
    <w:p w:rsidR="00560B0E" w:rsidRPr="00560B0E" w:rsidRDefault="00560B0E" w:rsidP="007765E6">
      <w:pPr>
        <w:pStyle w:val="PR4"/>
        <w:spacing w:before="240"/>
      </w:pPr>
      <w:r w:rsidRPr="00560B0E">
        <w:t xml:space="preserve">S-W ProMar 200 Zero VOC Latex Eg-Shel, B20-2600 Series, at </w:t>
      </w:r>
      <w:r w:rsidR="0086112F">
        <w:rPr>
          <w:color w:val="FF0000"/>
        </w:rPr>
        <w:t>4</w:t>
      </w:r>
      <w:r w:rsidR="0086112F" w:rsidRPr="007E5DA1">
        <w:rPr>
          <w:color w:val="FF0000"/>
        </w:rPr>
        <w:t>.0 mils</w:t>
      </w:r>
      <w:r w:rsidR="0086112F" w:rsidRPr="007E5DA1">
        <w:t xml:space="preserve"> </w:t>
      </w:r>
      <w:r w:rsidR="0086112F" w:rsidRPr="007E5DA1">
        <w:rPr>
          <w:color w:val="008080"/>
        </w:rPr>
        <w:t>(0.</w:t>
      </w:r>
      <w:r w:rsidR="0086112F">
        <w:rPr>
          <w:color w:val="008080"/>
        </w:rPr>
        <w:t>10</w:t>
      </w:r>
      <w:r w:rsidR="0086112F" w:rsidRPr="007E5DA1">
        <w:rPr>
          <w:color w:val="008080"/>
        </w:rPr>
        <w:t>2 mm)</w:t>
      </w:r>
      <w:r w:rsidR="0086112F" w:rsidRPr="007E5DA1">
        <w:t xml:space="preserve"> wet, </w:t>
      </w:r>
      <w:r w:rsidR="0086112F">
        <w:rPr>
          <w:color w:val="FF0000"/>
        </w:rPr>
        <w:t>1</w:t>
      </w:r>
      <w:r w:rsidR="0086112F" w:rsidRPr="007E5DA1">
        <w:rPr>
          <w:color w:val="FF0000"/>
        </w:rPr>
        <w:t>.</w:t>
      </w:r>
      <w:r w:rsidR="0086112F">
        <w:rPr>
          <w:color w:val="FF0000"/>
        </w:rPr>
        <w:t>7</w:t>
      </w:r>
      <w:r w:rsidR="0086112F" w:rsidRPr="007E5DA1">
        <w:rPr>
          <w:color w:val="FF0000"/>
        </w:rPr>
        <w:t xml:space="preserve"> mils </w:t>
      </w:r>
      <w:r w:rsidR="0086112F">
        <w:rPr>
          <w:color w:val="008080"/>
        </w:rPr>
        <w:t>(0.043</w:t>
      </w:r>
      <w:r w:rsidR="0086112F" w:rsidRPr="007E5DA1">
        <w:rPr>
          <w:color w:val="008080"/>
        </w:rPr>
        <w:t xml:space="preserve"> mm)</w:t>
      </w:r>
      <w:r w:rsidRPr="00560B0E">
        <w:t xml:space="preserve"> dry, per coat.</w:t>
      </w:r>
    </w:p>
    <w:p w:rsidR="00E92F19" w:rsidRPr="00E378A1" w:rsidRDefault="00560B0E" w:rsidP="007765E6">
      <w:pPr>
        <w:numPr>
          <w:ilvl w:val="6"/>
          <w:numId w:val="1"/>
        </w:numPr>
        <w:suppressAutoHyphens/>
        <w:spacing w:before="240"/>
        <w:jc w:val="both"/>
        <w:outlineLvl w:val="4"/>
        <w:rPr>
          <w:b/>
        </w:rPr>
      </w:pPr>
      <w:r w:rsidRPr="00E378A1">
        <w:rPr>
          <w:b/>
        </w:rPr>
        <w:t xml:space="preserve">Topcoat: Latex, interior, semi-gloss: </w:t>
      </w:r>
    </w:p>
    <w:p w:rsidR="00560B0E" w:rsidRPr="00560B0E" w:rsidRDefault="00560B0E" w:rsidP="007765E6">
      <w:pPr>
        <w:pStyle w:val="PR4"/>
        <w:spacing w:before="240"/>
      </w:pPr>
      <w:r w:rsidRPr="00560B0E">
        <w:t xml:space="preserve">S-W ProMar 200 Zero VOC Latex Semi-Gloss, B31-2600 Series, at </w:t>
      </w:r>
      <w:r w:rsidR="0086112F">
        <w:rPr>
          <w:color w:val="FF0000"/>
        </w:rPr>
        <w:t>4</w:t>
      </w:r>
      <w:r w:rsidR="0086112F" w:rsidRPr="007E5DA1">
        <w:rPr>
          <w:color w:val="FF0000"/>
        </w:rPr>
        <w:t>.0 mils</w:t>
      </w:r>
      <w:r w:rsidR="0086112F" w:rsidRPr="007E5DA1">
        <w:t xml:space="preserve"> </w:t>
      </w:r>
      <w:r w:rsidR="0086112F" w:rsidRPr="007E5DA1">
        <w:rPr>
          <w:color w:val="008080"/>
        </w:rPr>
        <w:t>(0.</w:t>
      </w:r>
      <w:r w:rsidR="0086112F">
        <w:rPr>
          <w:color w:val="008080"/>
        </w:rPr>
        <w:t>10</w:t>
      </w:r>
      <w:r w:rsidR="0086112F" w:rsidRPr="007E5DA1">
        <w:rPr>
          <w:color w:val="008080"/>
        </w:rPr>
        <w:t>2 mm)</w:t>
      </w:r>
      <w:r w:rsidR="0086112F" w:rsidRPr="007E5DA1">
        <w:t xml:space="preserve"> wet, </w:t>
      </w:r>
      <w:r w:rsidR="0086112F">
        <w:rPr>
          <w:color w:val="FF0000"/>
        </w:rPr>
        <w:t>1</w:t>
      </w:r>
      <w:r w:rsidR="0086112F" w:rsidRPr="007E5DA1">
        <w:rPr>
          <w:color w:val="FF0000"/>
        </w:rPr>
        <w:t>.</w:t>
      </w:r>
      <w:r w:rsidR="0086112F">
        <w:rPr>
          <w:color w:val="FF0000"/>
        </w:rPr>
        <w:t>6</w:t>
      </w:r>
      <w:r w:rsidR="0086112F" w:rsidRPr="007E5DA1">
        <w:rPr>
          <w:color w:val="FF0000"/>
        </w:rPr>
        <w:t xml:space="preserve"> mils </w:t>
      </w:r>
      <w:r w:rsidR="0086112F">
        <w:rPr>
          <w:color w:val="008080"/>
        </w:rPr>
        <w:t>(0.041</w:t>
      </w:r>
      <w:r w:rsidR="0086112F" w:rsidRPr="007E5DA1">
        <w:rPr>
          <w:color w:val="008080"/>
        </w:rPr>
        <w:t xml:space="preserve"> mm)</w:t>
      </w:r>
      <w:r w:rsidRPr="00560B0E">
        <w:t xml:space="preserve"> dry, per coat.</w:t>
      </w:r>
    </w:p>
    <w:p w:rsidR="00E92F19" w:rsidRPr="00E378A1" w:rsidRDefault="00560B0E" w:rsidP="007765E6">
      <w:pPr>
        <w:numPr>
          <w:ilvl w:val="6"/>
          <w:numId w:val="1"/>
        </w:numPr>
        <w:suppressAutoHyphens/>
        <w:spacing w:before="240"/>
        <w:jc w:val="both"/>
        <w:outlineLvl w:val="4"/>
        <w:rPr>
          <w:b/>
        </w:rPr>
      </w:pPr>
      <w:r w:rsidRPr="00E378A1">
        <w:rPr>
          <w:b/>
        </w:rPr>
        <w:t xml:space="preserve">Topcoat: Latex, interior, gloss: </w:t>
      </w:r>
    </w:p>
    <w:p w:rsidR="00560B0E" w:rsidRDefault="00560B0E" w:rsidP="007765E6">
      <w:pPr>
        <w:pStyle w:val="PR4"/>
        <w:spacing w:before="240"/>
      </w:pPr>
      <w:r w:rsidRPr="00560B0E">
        <w:t xml:space="preserve">S-W ProMar 200 Zero VOC Gloss, B21-12650 Series, at </w:t>
      </w:r>
      <w:r w:rsidR="0086112F">
        <w:rPr>
          <w:color w:val="FF0000"/>
        </w:rPr>
        <w:t>4</w:t>
      </w:r>
      <w:r w:rsidR="0086112F" w:rsidRPr="007E5DA1">
        <w:rPr>
          <w:color w:val="FF0000"/>
        </w:rPr>
        <w:t>.0 mils</w:t>
      </w:r>
      <w:r w:rsidR="0086112F" w:rsidRPr="007E5DA1">
        <w:t xml:space="preserve"> </w:t>
      </w:r>
      <w:r w:rsidR="0086112F" w:rsidRPr="007E5DA1">
        <w:rPr>
          <w:color w:val="008080"/>
        </w:rPr>
        <w:t>(0.</w:t>
      </w:r>
      <w:r w:rsidR="0086112F">
        <w:rPr>
          <w:color w:val="008080"/>
        </w:rPr>
        <w:t>10</w:t>
      </w:r>
      <w:r w:rsidR="0086112F" w:rsidRPr="007E5DA1">
        <w:rPr>
          <w:color w:val="008080"/>
        </w:rPr>
        <w:t>2 mm)</w:t>
      </w:r>
      <w:r w:rsidR="0086112F" w:rsidRPr="007E5DA1">
        <w:t xml:space="preserve"> wet, </w:t>
      </w:r>
      <w:r w:rsidR="0086112F">
        <w:rPr>
          <w:color w:val="FF0000"/>
        </w:rPr>
        <w:t>1</w:t>
      </w:r>
      <w:r w:rsidR="0086112F" w:rsidRPr="007E5DA1">
        <w:rPr>
          <w:color w:val="FF0000"/>
        </w:rPr>
        <w:t>.</w:t>
      </w:r>
      <w:r w:rsidR="0086112F">
        <w:rPr>
          <w:color w:val="FF0000"/>
        </w:rPr>
        <w:t>5</w:t>
      </w:r>
      <w:r w:rsidR="0086112F" w:rsidRPr="007E5DA1">
        <w:rPr>
          <w:color w:val="FF0000"/>
        </w:rPr>
        <w:t xml:space="preserve"> mils </w:t>
      </w:r>
      <w:r w:rsidR="0086112F">
        <w:rPr>
          <w:color w:val="008080"/>
        </w:rPr>
        <w:t>(0.038</w:t>
      </w:r>
      <w:r w:rsidR="0086112F" w:rsidRPr="007E5DA1">
        <w:rPr>
          <w:color w:val="008080"/>
        </w:rPr>
        <w:t xml:space="preserve"> mm)</w:t>
      </w:r>
      <w:r w:rsidRPr="00560B0E">
        <w:t xml:space="preserve"> dry, per coat.</w:t>
      </w:r>
    </w:p>
    <w:p w:rsidR="00E378A1" w:rsidRPr="00560B0E" w:rsidRDefault="00E378A1" w:rsidP="003B791A">
      <w:pPr>
        <w:pStyle w:val="PR4"/>
        <w:numPr>
          <w:ilvl w:val="0"/>
          <w:numId w:val="0"/>
        </w:numPr>
        <w:spacing w:before="240"/>
        <w:ind w:left="2016"/>
      </w:pPr>
    </w:p>
    <w:p w:rsidR="00560B0E" w:rsidRPr="00F144F7" w:rsidRDefault="00560B0E" w:rsidP="007765E6">
      <w:pPr>
        <w:pStyle w:val="CMT"/>
        <w:rPr>
          <w:b/>
          <w:sz w:val="22"/>
          <w:szCs w:val="22"/>
        </w:rPr>
      </w:pPr>
      <w:r w:rsidRPr="00F144F7">
        <w:rPr>
          <w:b/>
          <w:sz w:val="22"/>
          <w:szCs w:val="22"/>
        </w:rPr>
        <w:t>The washability, chemical resistance and impact-resistant finish of S-W Pro Industrial Pre-Catalyzed Waterbased Epoxy makes it the ideal coating for high traffic areas like hospitals, schools and restaurants. It provides enhanced performance, single-component convenience, with resistance to most commercial cleaners, and excellent stain blocking properties.</w:t>
      </w:r>
    </w:p>
    <w:p w:rsidR="00560B0E" w:rsidRPr="00F144F7" w:rsidRDefault="00E378A1" w:rsidP="00560B0E">
      <w:pPr>
        <w:numPr>
          <w:ilvl w:val="5"/>
          <w:numId w:val="1"/>
        </w:numPr>
        <w:suppressAutoHyphens/>
        <w:spacing w:before="240"/>
        <w:jc w:val="both"/>
        <w:outlineLvl w:val="3"/>
        <w:rPr>
          <w:b/>
        </w:rPr>
      </w:pPr>
      <w:r w:rsidRPr="00F144F7">
        <w:rPr>
          <w:b/>
        </w:rPr>
        <w:t>Commercial System</w:t>
      </w:r>
      <w:r w:rsidR="00560B0E" w:rsidRPr="00F144F7">
        <w:rPr>
          <w:b/>
        </w:rPr>
        <w:t>:</w:t>
      </w:r>
      <w:r w:rsidRPr="00F144F7">
        <w:rPr>
          <w:b/>
        </w:rPr>
        <w:t xml:space="preserve"> High Performance Products</w:t>
      </w:r>
    </w:p>
    <w:p w:rsidR="000F3FDB" w:rsidRDefault="00560B0E" w:rsidP="007765E6">
      <w:pPr>
        <w:pStyle w:val="PR3"/>
        <w:spacing w:before="240"/>
      </w:pPr>
      <w:r w:rsidRPr="00560B0E">
        <w:t xml:space="preserve">Prime Coat: Primer sealer, latex, interior: </w:t>
      </w:r>
    </w:p>
    <w:p w:rsidR="00E378A1" w:rsidRDefault="00560B0E" w:rsidP="00F144F7">
      <w:pPr>
        <w:pStyle w:val="PR4"/>
      </w:pPr>
      <w:r w:rsidRPr="00560B0E">
        <w:t xml:space="preserve">S-W </w:t>
      </w:r>
      <w:r w:rsidR="00E378A1" w:rsidRPr="00560B0E">
        <w:t xml:space="preserve">S-W </w:t>
      </w:r>
      <w:r w:rsidR="00E378A1">
        <w:t>PrepRite Problock Latex Primer</w:t>
      </w:r>
      <w:r w:rsidR="00E378A1" w:rsidRPr="00560B0E">
        <w:t xml:space="preserve">, at </w:t>
      </w:r>
      <w:r w:rsidR="00E378A1">
        <w:rPr>
          <w:color w:val="FF0000"/>
        </w:rPr>
        <w:t>4</w:t>
      </w:r>
      <w:r w:rsidR="00E378A1" w:rsidRPr="007E5DA1">
        <w:rPr>
          <w:color w:val="FF0000"/>
        </w:rPr>
        <w:t>.0 mils</w:t>
      </w:r>
      <w:r w:rsidR="00E378A1" w:rsidRPr="007E5DA1">
        <w:t xml:space="preserve">  wet, </w:t>
      </w:r>
      <w:r w:rsidR="00E378A1">
        <w:rPr>
          <w:color w:val="FF0000"/>
        </w:rPr>
        <w:t>1</w:t>
      </w:r>
      <w:r w:rsidR="00E378A1" w:rsidRPr="007E5DA1">
        <w:rPr>
          <w:color w:val="FF0000"/>
        </w:rPr>
        <w:t>.</w:t>
      </w:r>
      <w:r w:rsidR="00E378A1">
        <w:rPr>
          <w:color w:val="FF0000"/>
        </w:rPr>
        <w:t>0</w:t>
      </w:r>
      <w:r w:rsidR="00E378A1" w:rsidRPr="007E5DA1">
        <w:rPr>
          <w:color w:val="FF0000"/>
        </w:rPr>
        <w:t xml:space="preserve"> mils </w:t>
      </w:r>
      <w:r w:rsidR="00E378A1" w:rsidRPr="00560B0E">
        <w:t>dry.</w:t>
      </w:r>
    </w:p>
    <w:p w:rsidR="00F144F7" w:rsidRDefault="00F144F7" w:rsidP="00F144F7">
      <w:pPr>
        <w:pStyle w:val="PR4"/>
        <w:numPr>
          <w:ilvl w:val="0"/>
          <w:numId w:val="0"/>
        </w:numPr>
        <w:ind w:left="2592"/>
      </w:pPr>
    </w:p>
    <w:p w:rsidR="00560B0E" w:rsidRPr="00F144F7" w:rsidRDefault="00560B0E" w:rsidP="007765E6">
      <w:pPr>
        <w:pStyle w:val="CMT"/>
        <w:rPr>
          <w:b/>
          <w:sz w:val="22"/>
          <w:szCs w:val="22"/>
        </w:rPr>
      </w:pPr>
      <w:r w:rsidRPr="00F144F7">
        <w:rPr>
          <w:b/>
          <w:sz w:val="22"/>
          <w:szCs w:val="22"/>
        </w:rPr>
        <w:t>Retain one of two "Topcoat" Subparagraphs below.</w:t>
      </w:r>
    </w:p>
    <w:p w:rsidR="000F3FDB" w:rsidRPr="00F144F7" w:rsidRDefault="00560B0E" w:rsidP="00560B0E">
      <w:pPr>
        <w:numPr>
          <w:ilvl w:val="6"/>
          <w:numId w:val="1"/>
        </w:numPr>
        <w:suppressAutoHyphens/>
        <w:jc w:val="both"/>
        <w:outlineLvl w:val="4"/>
        <w:rPr>
          <w:b/>
        </w:rPr>
      </w:pPr>
      <w:r w:rsidRPr="00F144F7">
        <w:rPr>
          <w:b/>
        </w:rPr>
        <w:t xml:space="preserve">Topcoat: </w:t>
      </w:r>
      <w:r w:rsidR="00F144F7" w:rsidRPr="00F144F7">
        <w:rPr>
          <w:b/>
        </w:rPr>
        <w:t>Commercial High Performance Options 2 coats</w:t>
      </w:r>
      <w:r w:rsidRPr="00F144F7">
        <w:rPr>
          <w:b/>
        </w:rPr>
        <w:t xml:space="preserve">: </w:t>
      </w:r>
    </w:p>
    <w:p w:rsidR="00560B0E" w:rsidRPr="00560B0E" w:rsidRDefault="00560B0E" w:rsidP="007765E6">
      <w:pPr>
        <w:pStyle w:val="PR4"/>
        <w:spacing w:before="240"/>
      </w:pPr>
      <w:r w:rsidRPr="00560B0E">
        <w:t xml:space="preserve">S-W Pro Industrial Pre-Catalyzed Waterbased Epoxy, K45-151 Series, at </w:t>
      </w:r>
      <w:r w:rsidR="000F3FDB">
        <w:rPr>
          <w:color w:val="FF0000"/>
        </w:rPr>
        <w:t>4</w:t>
      </w:r>
      <w:r w:rsidR="000F3FDB" w:rsidRPr="007E5DA1">
        <w:rPr>
          <w:color w:val="FF0000"/>
        </w:rPr>
        <w:t>.0 mils</w:t>
      </w:r>
      <w:r w:rsidR="000F3FDB" w:rsidRPr="007E5DA1">
        <w:t xml:space="preserve"> </w:t>
      </w:r>
      <w:r w:rsidR="000F3FDB" w:rsidRPr="007E5DA1">
        <w:rPr>
          <w:color w:val="008080"/>
        </w:rPr>
        <w:t>(0.</w:t>
      </w:r>
      <w:r w:rsidR="000F3FDB">
        <w:rPr>
          <w:color w:val="008080"/>
        </w:rPr>
        <w:t>10</w:t>
      </w:r>
      <w:r w:rsidR="000F3FDB" w:rsidRPr="007E5DA1">
        <w:rPr>
          <w:color w:val="008080"/>
        </w:rPr>
        <w:t>2 mm)</w:t>
      </w:r>
      <w:r w:rsidR="000F3FDB" w:rsidRPr="007E5DA1">
        <w:t xml:space="preserve"> wet, </w:t>
      </w:r>
      <w:r w:rsidR="000F3FDB">
        <w:rPr>
          <w:color w:val="FF0000"/>
        </w:rPr>
        <w:t>1</w:t>
      </w:r>
      <w:r w:rsidR="000F3FDB" w:rsidRPr="007E5DA1">
        <w:rPr>
          <w:color w:val="FF0000"/>
        </w:rPr>
        <w:t>.</w:t>
      </w:r>
      <w:r w:rsidR="000F3FDB">
        <w:rPr>
          <w:color w:val="FF0000"/>
        </w:rPr>
        <w:t>5</w:t>
      </w:r>
      <w:r w:rsidR="000F3FDB" w:rsidRPr="007E5DA1">
        <w:rPr>
          <w:color w:val="FF0000"/>
        </w:rPr>
        <w:t xml:space="preserve"> mils </w:t>
      </w:r>
      <w:r w:rsidR="000F3FDB">
        <w:rPr>
          <w:color w:val="008080"/>
        </w:rPr>
        <w:t>(0.038</w:t>
      </w:r>
      <w:r w:rsidR="000F3FDB" w:rsidRPr="007E5DA1">
        <w:rPr>
          <w:color w:val="008080"/>
        </w:rPr>
        <w:t xml:space="preserve"> mm)</w:t>
      </w:r>
      <w:r w:rsidRPr="00560B0E">
        <w:t xml:space="preserve"> dry, per coat.</w:t>
      </w:r>
    </w:p>
    <w:p w:rsidR="000F3FDB" w:rsidRDefault="00560B0E" w:rsidP="007765E6">
      <w:pPr>
        <w:numPr>
          <w:ilvl w:val="6"/>
          <w:numId w:val="1"/>
        </w:numPr>
        <w:suppressAutoHyphens/>
        <w:spacing w:before="240"/>
        <w:jc w:val="both"/>
        <w:outlineLvl w:val="4"/>
      </w:pPr>
      <w:r w:rsidRPr="00560B0E">
        <w:t xml:space="preserve">Topcoat: Light industrial coating, interior, water based, semi-gloss: </w:t>
      </w:r>
    </w:p>
    <w:p w:rsidR="00560B0E" w:rsidRDefault="00560B0E" w:rsidP="007765E6">
      <w:pPr>
        <w:pStyle w:val="PR4"/>
        <w:spacing w:before="240"/>
      </w:pPr>
      <w:r w:rsidRPr="00560B0E">
        <w:t xml:space="preserve">S-W Pro Industrial Pre-Catalyzed Waterbased Epoxy, K46-151 Series, at </w:t>
      </w:r>
      <w:r w:rsidR="000F3FDB">
        <w:rPr>
          <w:color w:val="FF0000"/>
        </w:rPr>
        <w:t>4</w:t>
      </w:r>
      <w:r w:rsidR="000F3FDB" w:rsidRPr="007E5DA1">
        <w:rPr>
          <w:color w:val="FF0000"/>
        </w:rPr>
        <w:t>.0 mils</w:t>
      </w:r>
      <w:r w:rsidR="000F3FDB" w:rsidRPr="007E5DA1">
        <w:t xml:space="preserve"> </w:t>
      </w:r>
      <w:r w:rsidR="000F3FDB" w:rsidRPr="007E5DA1">
        <w:rPr>
          <w:color w:val="008080"/>
        </w:rPr>
        <w:t>(0.</w:t>
      </w:r>
      <w:r w:rsidR="000F3FDB">
        <w:rPr>
          <w:color w:val="008080"/>
        </w:rPr>
        <w:t>10</w:t>
      </w:r>
      <w:r w:rsidR="000F3FDB" w:rsidRPr="007E5DA1">
        <w:rPr>
          <w:color w:val="008080"/>
        </w:rPr>
        <w:t>2 mm)</w:t>
      </w:r>
      <w:r w:rsidR="000F3FDB" w:rsidRPr="007E5DA1">
        <w:t xml:space="preserve"> wet, </w:t>
      </w:r>
      <w:r w:rsidR="000F3FDB">
        <w:rPr>
          <w:color w:val="FF0000"/>
        </w:rPr>
        <w:t>1</w:t>
      </w:r>
      <w:r w:rsidR="000F3FDB" w:rsidRPr="007E5DA1">
        <w:rPr>
          <w:color w:val="FF0000"/>
        </w:rPr>
        <w:t>.</w:t>
      </w:r>
      <w:r w:rsidR="000F3FDB">
        <w:rPr>
          <w:color w:val="FF0000"/>
        </w:rPr>
        <w:t>5</w:t>
      </w:r>
      <w:r w:rsidR="000F3FDB" w:rsidRPr="007E5DA1">
        <w:rPr>
          <w:color w:val="FF0000"/>
        </w:rPr>
        <w:t xml:space="preserve"> mils </w:t>
      </w:r>
      <w:r w:rsidR="000F3FDB">
        <w:rPr>
          <w:color w:val="008080"/>
        </w:rPr>
        <w:t>(0.038</w:t>
      </w:r>
      <w:r w:rsidR="000F3FDB" w:rsidRPr="007E5DA1">
        <w:rPr>
          <w:color w:val="008080"/>
        </w:rPr>
        <w:t xml:space="preserve"> mm)</w:t>
      </w:r>
      <w:r w:rsidRPr="00560B0E">
        <w:t xml:space="preserve"> dry, per coat.</w:t>
      </w:r>
    </w:p>
    <w:p w:rsidR="003B791A" w:rsidRDefault="003B791A">
      <w:pPr>
        <w:pStyle w:val="EOS"/>
        <w:rPr>
          <w:szCs w:val="22"/>
        </w:rPr>
      </w:pPr>
    </w:p>
    <w:p w:rsidR="003B791A" w:rsidRDefault="003B791A">
      <w:pPr>
        <w:pStyle w:val="EOS"/>
        <w:rPr>
          <w:szCs w:val="22"/>
        </w:rPr>
      </w:pPr>
    </w:p>
    <w:p w:rsidR="00B06054" w:rsidRDefault="00B06054">
      <w:pPr>
        <w:pStyle w:val="EOS"/>
        <w:rPr>
          <w:szCs w:val="22"/>
        </w:rPr>
      </w:pPr>
    </w:p>
    <w:p w:rsidR="001741D2" w:rsidRPr="003B791A" w:rsidRDefault="003B791A">
      <w:pPr>
        <w:pStyle w:val="EOS"/>
        <w:rPr>
          <w:b/>
          <w:sz w:val="28"/>
          <w:szCs w:val="28"/>
        </w:rPr>
      </w:pPr>
      <w:r w:rsidRPr="003B791A">
        <w:rPr>
          <w:b/>
          <w:sz w:val="28"/>
          <w:szCs w:val="28"/>
        </w:rPr>
        <w:t>Section 099 00 Exterior Coatings</w:t>
      </w:r>
    </w:p>
    <w:p w:rsidR="003B791A" w:rsidRDefault="003B791A">
      <w:pPr>
        <w:pStyle w:val="EOS"/>
        <w:rPr>
          <w:szCs w:val="22"/>
        </w:rPr>
      </w:pPr>
      <w:r>
        <w:rPr>
          <w:szCs w:val="22"/>
        </w:rPr>
        <w:t>MgO Substrates: Exterior Coating Systems</w:t>
      </w:r>
    </w:p>
    <w:p w:rsidR="001741D2" w:rsidRPr="00266A78" w:rsidRDefault="001741D2" w:rsidP="003B791A">
      <w:pPr>
        <w:pStyle w:val="system"/>
        <w:ind w:left="0" w:firstLine="0"/>
        <w:jc w:val="both"/>
        <w:rPr>
          <w:color w:val="000000"/>
        </w:rPr>
      </w:pPr>
      <w:bookmarkStart w:id="2" w:name="_Hlk74140192"/>
      <w:r w:rsidRPr="00266A78">
        <w:rPr>
          <w:color w:val="000000"/>
        </w:rPr>
        <w:tab/>
      </w:r>
      <w:r w:rsidRPr="00266A78">
        <w:rPr>
          <w:color w:val="000000"/>
        </w:rPr>
        <w:tab/>
      </w:r>
    </w:p>
    <w:p w:rsidR="001741D2" w:rsidRPr="00AB6DAC" w:rsidRDefault="001741D2" w:rsidP="001741D2">
      <w:pPr>
        <w:pStyle w:val="system"/>
        <w:jc w:val="both"/>
        <w:rPr>
          <w:bCs/>
          <w:color w:val="000000"/>
        </w:rPr>
      </w:pPr>
      <w:r w:rsidRPr="00AB6DAC">
        <w:rPr>
          <w:b/>
          <w:color w:val="000000"/>
        </w:rPr>
        <w:t>Latex Systems</w:t>
      </w:r>
      <w:r w:rsidRPr="00AB6DAC">
        <w:rPr>
          <w:bCs/>
          <w:color w:val="000000"/>
        </w:rPr>
        <w:tab/>
      </w:r>
      <w:r w:rsidRPr="00AB6DAC">
        <w:rPr>
          <w:bCs/>
          <w:color w:val="000000"/>
        </w:rPr>
        <w:tab/>
      </w:r>
      <w:hyperlink w:anchor="a" w:history="1"/>
    </w:p>
    <w:p w:rsidR="001741D2" w:rsidRPr="001603E3" w:rsidRDefault="001741D2" w:rsidP="001741D2">
      <w:pPr>
        <w:pStyle w:val="system"/>
        <w:jc w:val="both"/>
        <w:rPr>
          <w:color w:val="000000"/>
        </w:rPr>
      </w:pPr>
      <w:bookmarkStart w:id="3" w:name="a1a"/>
      <w:bookmarkEnd w:id="3"/>
      <w:r w:rsidRPr="00AB6DAC">
        <w:rPr>
          <w:color w:val="000000"/>
        </w:rPr>
        <w:tab/>
        <w:t>a.</w:t>
      </w:r>
      <w:r w:rsidRPr="00AB6DAC">
        <w:rPr>
          <w:color w:val="000000"/>
        </w:rPr>
        <w:tab/>
      </w:r>
      <w:bookmarkStart w:id="4" w:name="a1"/>
      <w:bookmarkEnd w:id="4"/>
      <w:r w:rsidRPr="00AB6DAC">
        <w:rPr>
          <w:color w:val="000000"/>
        </w:rPr>
        <w:t xml:space="preserve">Gloss Finish </w:t>
      </w:r>
    </w:p>
    <w:p w:rsidR="00CC2EFD" w:rsidRPr="00560B0E" w:rsidRDefault="001741D2" w:rsidP="00CC2EFD">
      <w:pPr>
        <w:pStyle w:val="PR4"/>
      </w:pPr>
      <w:r w:rsidRPr="00CC2EFD">
        <w:rPr>
          <w:color w:val="000000"/>
        </w:rPr>
        <w:t>1st Coat:</w:t>
      </w:r>
      <w:r w:rsidRPr="00CC2EFD">
        <w:rPr>
          <w:color w:val="000000"/>
        </w:rPr>
        <w:tab/>
        <w:t xml:space="preserve">S-W </w:t>
      </w:r>
      <w:r w:rsidR="00CC2EFD" w:rsidRPr="00560B0E">
        <w:t xml:space="preserve">S-W </w:t>
      </w:r>
      <w:r w:rsidR="00CC2EFD">
        <w:t>PrepRite Problock Latex Primer</w:t>
      </w:r>
      <w:r w:rsidR="00CC2EFD" w:rsidRPr="00560B0E">
        <w:t xml:space="preserve">, at </w:t>
      </w:r>
      <w:r w:rsidR="00CC2EFD" w:rsidRPr="00CC2EFD">
        <w:rPr>
          <w:color w:val="FF0000"/>
        </w:rPr>
        <w:t>4.0 mils</w:t>
      </w:r>
      <w:r w:rsidR="00CC2EFD" w:rsidRPr="007E5DA1">
        <w:t xml:space="preserve">  wet, </w:t>
      </w:r>
      <w:r w:rsidR="00CC2EFD" w:rsidRPr="00CC2EFD">
        <w:rPr>
          <w:color w:val="FF0000"/>
        </w:rPr>
        <w:t xml:space="preserve">1.0 mils </w:t>
      </w:r>
      <w:r w:rsidR="00CC2EFD" w:rsidRPr="00560B0E">
        <w:t>dry.</w:t>
      </w:r>
    </w:p>
    <w:p w:rsidR="001741D2" w:rsidRPr="001603E3" w:rsidRDefault="00CC2EFD" w:rsidP="00CC2EFD">
      <w:pPr>
        <w:pStyle w:val="system"/>
        <w:ind w:firstLine="0"/>
        <w:jc w:val="both"/>
        <w:rPr>
          <w:color w:val="000000"/>
        </w:rPr>
      </w:pPr>
      <w:r>
        <w:rPr>
          <w:color w:val="000000"/>
        </w:rPr>
        <w:tab/>
      </w:r>
      <w:r>
        <w:rPr>
          <w:color w:val="000000"/>
        </w:rPr>
        <w:tab/>
        <w:t>2nd Coat:</w:t>
      </w:r>
      <w:r w:rsidR="001741D2" w:rsidRPr="001603E3">
        <w:rPr>
          <w:color w:val="000000"/>
        </w:rPr>
        <w:t>S-W A-100</w:t>
      </w:r>
      <w:r w:rsidR="001741D2" w:rsidRPr="001603E3">
        <w:rPr>
          <w:color w:val="000000"/>
          <w:vertAlign w:val="superscript"/>
        </w:rPr>
        <w:t>®</w:t>
      </w:r>
      <w:r w:rsidR="001741D2" w:rsidRPr="001603E3">
        <w:rPr>
          <w:color w:val="000000"/>
        </w:rPr>
        <w:t xml:space="preserve"> Exterior Latex Gloss, A8 Series</w:t>
      </w:r>
    </w:p>
    <w:p w:rsidR="001741D2" w:rsidRPr="001603E3" w:rsidRDefault="001741D2" w:rsidP="001741D2">
      <w:pPr>
        <w:pStyle w:val="system"/>
        <w:jc w:val="both"/>
        <w:rPr>
          <w:color w:val="000000"/>
        </w:rPr>
      </w:pPr>
      <w:r w:rsidRPr="001603E3">
        <w:rPr>
          <w:color w:val="000000"/>
        </w:rPr>
        <w:tab/>
      </w:r>
      <w:r w:rsidRPr="001603E3">
        <w:rPr>
          <w:color w:val="000000"/>
        </w:rPr>
        <w:tab/>
      </w:r>
      <w:r w:rsidR="00CC2EFD">
        <w:rPr>
          <w:color w:val="000000"/>
        </w:rPr>
        <w:tab/>
        <w:t xml:space="preserve">3rd Coat: </w:t>
      </w:r>
      <w:r w:rsidRPr="001603E3">
        <w:rPr>
          <w:color w:val="000000"/>
        </w:rPr>
        <w:t>S-W A-100</w:t>
      </w:r>
      <w:r w:rsidRPr="001603E3">
        <w:rPr>
          <w:color w:val="000000"/>
          <w:vertAlign w:val="superscript"/>
        </w:rPr>
        <w:t>®</w:t>
      </w:r>
      <w:r w:rsidRPr="001603E3">
        <w:rPr>
          <w:color w:val="000000"/>
        </w:rPr>
        <w:t xml:space="preserve"> Exterior Latex Gloss, A8 Series</w:t>
      </w:r>
    </w:p>
    <w:p w:rsidR="001741D2" w:rsidRPr="00AB6DAC" w:rsidRDefault="001741D2" w:rsidP="001741D2">
      <w:pPr>
        <w:pStyle w:val="system"/>
        <w:jc w:val="both"/>
        <w:rPr>
          <w:color w:val="000000"/>
        </w:rPr>
      </w:pPr>
      <w:r w:rsidRPr="001603E3">
        <w:rPr>
          <w:color w:val="000000"/>
        </w:rPr>
        <w:tab/>
      </w:r>
      <w:r w:rsidRPr="001603E3">
        <w:rPr>
          <w:color w:val="000000"/>
        </w:rPr>
        <w:tab/>
      </w:r>
      <w:r w:rsidRPr="001603E3">
        <w:rPr>
          <w:color w:val="000000"/>
        </w:rPr>
        <w:tab/>
        <w:t>(4.0 mils wet, 1.5 mils dry per coat)</w:t>
      </w:r>
      <w:bookmarkStart w:id="5" w:name="A1BB"/>
      <w:bookmarkEnd w:id="5"/>
      <w:r w:rsidRPr="00AB6DAC">
        <w:rPr>
          <w:color w:val="000000"/>
        </w:rPr>
        <w:tab/>
      </w:r>
    </w:p>
    <w:p w:rsidR="001741D2" w:rsidRPr="00AB6DAC" w:rsidRDefault="001741D2" w:rsidP="001741D2">
      <w:pPr>
        <w:pStyle w:val="system"/>
        <w:jc w:val="both"/>
        <w:rPr>
          <w:color w:val="000000"/>
        </w:rPr>
      </w:pPr>
      <w:r w:rsidRPr="00AB6DAC">
        <w:rPr>
          <w:color w:val="000000"/>
        </w:rPr>
        <w:tab/>
      </w:r>
      <w:r w:rsidRPr="00AB6DAC">
        <w:rPr>
          <w:color w:val="000000"/>
        </w:rPr>
        <w:tab/>
      </w:r>
    </w:p>
    <w:p w:rsidR="001741D2" w:rsidRPr="00266A78" w:rsidRDefault="001741D2" w:rsidP="001741D2">
      <w:pPr>
        <w:pStyle w:val="system"/>
        <w:jc w:val="both"/>
        <w:rPr>
          <w:b/>
          <w:bCs/>
          <w:color w:val="000000"/>
        </w:rPr>
      </w:pPr>
      <w:r w:rsidRPr="00AB6DAC">
        <w:rPr>
          <w:color w:val="000000"/>
        </w:rPr>
        <w:tab/>
      </w:r>
      <w:r w:rsidRPr="00AB6DAC">
        <w:rPr>
          <w:color w:val="000000"/>
        </w:rPr>
        <w:tab/>
      </w:r>
      <w:r w:rsidRPr="00AB6DAC">
        <w:rPr>
          <w:b/>
          <w:bCs/>
          <w:color w:val="000000"/>
        </w:rPr>
        <w:t xml:space="preserve">Early Moisture </w:t>
      </w:r>
      <w:r w:rsidRPr="00266A78">
        <w:rPr>
          <w:b/>
          <w:bCs/>
          <w:color w:val="000000"/>
        </w:rPr>
        <w:t>Resistant Finish</w:t>
      </w:r>
    </w:p>
    <w:p w:rsidR="00CC2EFD" w:rsidRPr="00560B0E" w:rsidRDefault="001741D2" w:rsidP="00CC2EFD">
      <w:pPr>
        <w:pStyle w:val="PR4"/>
      </w:pPr>
      <w:r w:rsidRPr="00CC2EFD">
        <w:rPr>
          <w:color w:val="000000"/>
        </w:rPr>
        <w:t>1st Coat:</w:t>
      </w:r>
      <w:r w:rsidRPr="00CC2EFD">
        <w:rPr>
          <w:color w:val="000000"/>
        </w:rPr>
        <w:tab/>
        <w:t xml:space="preserve">S-W </w:t>
      </w:r>
      <w:r w:rsidR="00CC2EFD" w:rsidRPr="00560B0E">
        <w:t xml:space="preserve">S-W </w:t>
      </w:r>
      <w:r w:rsidR="00CC2EFD">
        <w:t>PrepRite Problock Latex Primer</w:t>
      </w:r>
      <w:r w:rsidR="00CC2EFD" w:rsidRPr="00560B0E">
        <w:t xml:space="preserve">, at </w:t>
      </w:r>
      <w:r w:rsidR="00CC2EFD" w:rsidRPr="00CC2EFD">
        <w:rPr>
          <w:color w:val="FF0000"/>
        </w:rPr>
        <w:t>4.0 mils</w:t>
      </w:r>
      <w:r w:rsidR="00CC2EFD" w:rsidRPr="007E5DA1">
        <w:t xml:space="preserve">  wet, </w:t>
      </w:r>
      <w:r w:rsidR="00CC2EFD" w:rsidRPr="00CC2EFD">
        <w:rPr>
          <w:color w:val="FF0000"/>
        </w:rPr>
        <w:t xml:space="preserve">1.0 mils </w:t>
      </w:r>
      <w:r w:rsidR="00CC2EFD" w:rsidRPr="00560B0E">
        <w:t>dry.</w:t>
      </w:r>
    </w:p>
    <w:p w:rsidR="001741D2" w:rsidRPr="00266A78" w:rsidRDefault="00CC2EFD" w:rsidP="00CC2EFD">
      <w:pPr>
        <w:pStyle w:val="system"/>
        <w:ind w:firstLine="0"/>
        <w:jc w:val="both"/>
        <w:rPr>
          <w:color w:val="000000"/>
        </w:rPr>
      </w:pPr>
      <w:bookmarkStart w:id="6" w:name="_Hlk73958496"/>
      <w:r>
        <w:rPr>
          <w:color w:val="000000"/>
        </w:rPr>
        <w:tab/>
      </w:r>
      <w:r>
        <w:rPr>
          <w:color w:val="000000"/>
        </w:rPr>
        <w:tab/>
        <w:t>2nd Coat:</w:t>
      </w:r>
      <w:r w:rsidR="001741D2" w:rsidRPr="00266A78">
        <w:rPr>
          <w:color w:val="000000"/>
        </w:rPr>
        <w:t>S-W Latitude</w:t>
      </w:r>
      <w:r w:rsidR="001741D2" w:rsidRPr="00266A78">
        <w:rPr>
          <w:color w:val="000000"/>
          <w:vertAlign w:val="superscript"/>
        </w:rPr>
        <w:t>™</w:t>
      </w:r>
      <w:r w:rsidR="001741D2" w:rsidRPr="00266A78">
        <w:rPr>
          <w:color w:val="000000"/>
        </w:rPr>
        <w:t xml:space="preserve"> Acrylic Gloss</w:t>
      </w:r>
      <w:r w:rsidR="001741D2" w:rsidRPr="00266A78">
        <w:rPr>
          <w:rFonts w:cs="Arial"/>
          <w:color w:val="000000"/>
          <w:sz w:val="16"/>
          <w:szCs w:val="16"/>
          <w:vertAlign w:val="superscript"/>
        </w:rPr>
        <w:t>†</w:t>
      </w:r>
      <w:r w:rsidR="001741D2" w:rsidRPr="00266A78">
        <w:rPr>
          <w:color w:val="000000"/>
        </w:rPr>
        <w:t>, K64 Series</w:t>
      </w:r>
    </w:p>
    <w:p w:rsidR="001741D2" w:rsidRPr="00266A78" w:rsidRDefault="001741D2" w:rsidP="001741D2">
      <w:pPr>
        <w:pStyle w:val="system"/>
        <w:jc w:val="both"/>
        <w:rPr>
          <w:color w:val="000000"/>
        </w:rPr>
      </w:pPr>
      <w:r w:rsidRPr="00266A78">
        <w:rPr>
          <w:color w:val="000000"/>
        </w:rPr>
        <w:tab/>
      </w:r>
      <w:r w:rsidRPr="00266A78">
        <w:rPr>
          <w:color w:val="000000"/>
        </w:rPr>
        <w:tab/>
      </w:r>
      <w:r w:rsidR="00CC2EFD">
        <w:rPr>
          <w:color w:val="000000"/>
        </w:rPr>
        <w:tab/>
        <w:t xml:space="preserve">3rd Coat: </w:t>
      </w:r>
      <w:r w:rsidRPr="00266A78">
        <w:rPr>
          <w:color w:val="000000"/>
        </w:rPr>
        <w:t>S-W Latitude</w:t>
      </w:r>
      <w:r w:rsidRPr="00266A78">
        <w:rPr>
          <w:color w:val="000000"/>
          <w:vertAlign w:val="superscript"/>
        </w:rPr>
        <w:t>™</w:t>
      </w:r>
      <w:r w:rsidRPr="00266A78">
        <w:rPr>
          <w:color w:val="000000"/>
        </w:rPr>
        <w:t xml:space="preserve"> Acrylic Gloss</w:t>
      </w:r>
      <w:r w:rsidRPr="00266A78">
        <w:rPr>
          <w:rFonts w:cs="Arial"/>
          <w:color w:val="000000"/>
          <w:sz w:val="16"/>
          <w:szCs w:val="16"/>
          <w:vertAlign w:val="superscript"/>
        </w:rPr>
        <w:t>†</w:t>
      </w:r>
      <w:r w:rsidRPr="00266A78">
        <w:rPr>
          <w:color w:val="000000"/>
        </w:rPr>
        <w:t>, K64 Series</w:t>
      </w:r>
    </w:p>
    <w:p w:rsidR="001741D2" w:rsidRPr="00266A78" w:rsidRDefault="001741D2" w:rsidP="001741D2">
      <w:pPr>
        <w:pStyle w:val="system"/>
        <w:jc w:val="both"/>
        <w:rPr>
          <w:color w:val="000000"/>
        </w:rPr>
      </w:pPr>
      <w:r w:rsidRPr="00266A78">
        <w:rPr>
          <w:color w:val="000000"/>
        </w:rPr>
        <w:tab/>
      </w:r>
      <w:r w:rsidRPr="00266A78">
        <w:rPr>
          <w:color w:val="000000"/>
        </w:rPr>
        <w:tab/>
      </w:r>
      <w:r w:rsidRPr="00266A78">
        <w:rPr>
          <w:color w:val="000000"/>
        </w:rPr>
        <w:tab/>
        <w:t>(4.0 mils wet, 1.4 mils dry per coat)</w:t>
      </w:r>
      <w:bookmarkEnd w:id="6"/>
    </w:p>
    <w:p w:rsidR="001741D2" w:rsidRPr="00AB6DAC" w:rsidRDefault="001741D2" w:rsidP="001741D2">
      <w:pPr>
        <w:pStyle w:val="system"/>
        <w:jc w:val="both"/>
        <w:rPr>
          <w:color w:val="000000"/>
        </w:rPr>
      </w:pPr>
    </w:p>
    <w:p w:rsidR="001741D2" w:rsidRPr="00AB6DAC" w:rsidRDefault="001741D2" w:rsidP="001741D2">
      <w:pPr>
        <w:pStyle w:val="system"/>
        <w:jc w:val="both"/>
        <w:rPr>
          <w:color w:val="000000"/>
        </w:rPr>
      </w:pPr>
      <w:r w:rsidRPr="00AB6DAC">
        <w:rPr>
          <w:color w:val="000000"/>
        </w:rPr>
        <w:tab/>
      </w:r>
      <w:bookmarkStart w:id="7" w:name="A1BBB"/>
      <w:bookmarkEnd w:id="7"/>
      <w:r w:rsidRPr="00AB6DAC">
        <w:rPr>
          <w:bCs/>
          <w:color w:val="000000"/>
        </w:rPr>
        <w:fldChar w:fldCharType="begin"/>
      </w:r>
      <w:r w:rsidRPr="00AB6DAC">
        <w:rPr>
          <w:bCs/>
          <w:color w:val="000000"/>
        </w:rPr>
        <w:instrText xml:space="preserve"> HYPERLINK  \l "a" </w:instrText>
      </w:r>
      <w:r w:rsidRPr="00AB6DAC">
        <w:rPr>
          <w:bCs/>
          <w:color w:val="000000"/>
        </w:rPr>
        <w:fldChar w:fldCharType="end"/>
      </w:r>
      <w:bookmarkStart w:id="8" w:name="_Hlk74139215"/>
      <w:r w:rsidRPr="00AB6DAC">
        <w:rPr>
          <w:bCs/>
          <w:color w:val="000000"/>
        </w:rPr>
        <w:t>b</w:t>
      </w:r>
      <w:r w:rsidRPr="00AB6DAC">
        <w:rPr>
          <w:color w:val="000000"/>
        </w:rPr>
        <w:t xml:space="preserve">. </w:t>
      </w:r>
      <w:r w:rsidRPr="00AB6DAC">
        <w:rPr>
          <w:color w:val="000000"/>
        </w:rPr>
        <w:tab/>
        <w:t>Satin Finish</w:t>
      </w:r>
    </w:p>
    <w:bookmarkEnd w:id="8"/>
    <w:p w:rsidR="00CC2EFD" w:rsidRPr="00560B0E" w:rsidRDefault="001741D2" w:rsidP="00CC2EFD">
      <w:pPr>
        <w:pStyle w:val="PR4"/>
      </w:pPr>
      <w:r w:rsidRPr="00CC2EFD">
        <w:rPr>
          <w:color w:val="000000"/>
        </w:rPr>
        <w:t>1st Coat:</w:t>
      </w:r>
      <w:r w:rsidRPr="00CC2EFD">
        <w:rPr>
          <w:color w:val="000000"/>
        </w:rPr>
        <w:tab/>
      </w:r>
      <w:r w:rsidR="00CC2EFD" w:rsidRPr="00560B0E">
        <w:t xml:space="preserve">S-W </w:t>
      </w:r>
      <w:r w:rsidR="00CC2EFD">
        <w:t>PrepRite Problock Latex Primer</w:t>
      </w:r>
      <w:r w:rsidR="00CC2EFD" w:rsidRPr="00560B0E">
        <w:t xml:space="preserve">, at </w:t>
      </w:r>
      <w:r w:rsidR="00CC2EFD" w:rsidRPr="00CC2EFD">
        <w:rPr>
          <w:color w:val="FF0000"/>
        </w:rPr>
        <w:t>4.0 mils</w:t>
      </w:r>
      <w:r w:rsidR="00CC2EFD" w:rsidRPr="007E5DA1">
        <w:t xml:space="preserve">  wet, </w:t>
      </w:r>
      <w:r w:rsidR="00CC2EFD" w:rsidRPr="00CC2EFD">
        <w:rPr>
          <w:color w:val="FF0000"/>
        </w:rPr>
        <w:t xml:space="preserve">1.0 mils </w:t>
      </w:r>
      <w:r w:rsidR="00CC2EFD">
        <w:t>dry.</w:t>
      </w:r>
    </w:p>
    <w:p w:rsidR="001741D2" w:rsidRPr="00CE1E83" w:rsidRDefault="00CC2EFD" w:rsidP="00CC2EFD">
      <w:pPr>
        <w:pStyle w:val="system"/>
        <w:jc w:val="both"/>
        <w:rPr>
          <w:color w:val="000000"/>
        </w:rPr>
      </w:pPr>
      <w:r>
        <w:rPr>
          <w:color w:val="000000"/>
        </w:rPr>
        <w:t xml:space="preserve">  </w:t>
      </w:r>
      <w:r>
        <w:rPr>
          <w:color w:val="000000"/>
        </w:rPr>
        <w:tab/>
      </w:r>
      <w:r>
        <w:rPr>
          <w:color w:val="000000"/>
        </w:rPr>
        <w:tab/>
      </w:r>
      <w:r>
        <w:rPr>
          <w:color w:val="000000"/>
        </w:rPr>
        <w:tab/>
      </w:r>
      <w:r w:rsidR="001741D2" w:rsidRPr="00CE1E83">
        <w:rPr>
          <w:color w:val="000000"/>
        </w:rPr>
        <w:t>2nd Coat:S-W A-100</w:t>
      </w:r>
      <w:r w:rsidR="001741D2" w:rsidRPr="00CE1E83">
        <w:rPr>
          <w:color w:val="000000"/>
          <w:vertAlign w:val="superscript"/>
        </w:rPr>
        <w:t>®</w:t>
      </w:r>
      <w:r w:rsidR="001741D2" w:rsidRPr="00CE1E83">
        <w:rPr>
          <w:color w:val="000000"/>
        </w:rPr>
        <w:t xml:space="preserve"> Exterior Latex Satin, A82 Series  </w:t>
      </w:r>
    </w:p>
    <w:p w:rsidR="001741D2" w:rsidRPr="00CE1E83" w:rsidRDefault="001741D2" w:rsidP="001741D2">
      <w:pPr>
        <w:pStyle w:val="system"/>
        <w:jc w:val="both"/>
        <w:rPr>
          <w:color w:val="000000"/>
        </w:rPr>
      </w:pPr>
      <w:r w:rsidRPr="00CE1E83">
        <w:rPr>
          <w:color w:val="000000"/>
        </w:rPr>
        <w:tab/>
      </w:r>
      <w:r w:rsidRPr="00CE1E83">
        <w:rPr>
          <w:color w:val="000000"/>
        </w:rPr>
        <w:tab/>
      </w:r>
      <w:r w:rsidR="00CC2EFD">
        <w:rPr>
          <w:color w:val="000000"/>
        </w:rPr>
        <w:tab/>
        <w:t xml:space="preserve">3rd Coat  </w:t>
      </w:r>
      <w:r w:rsidRPr="00CE1E83">
        <w:rPr>
          <w:color w:val="000000"/>
        </w:rPr>
        <w:t>S-W A-100</w:t>
      </w:r>
      <w:r w:rsidRPr="00CE1E83">
        <w:rPr>
          <w:color w:val="000000"/>
          <w:vertAlign w:val="superscript"/>
        </w:rPr>
        <w:t>®</w:t>
      </w:r>
      <w:r w:rsidRPr="00CE1E83">
        <w:rPr>
          <w:color w:val="000000"/>
        </w:rPr>
        <w:t xml:space="preserve"> Exterior Latex Satin, A82 Series  </w:t>
      </w:r>
    </w:p>
    <w:p w:rsidR="001741D2" w:rsidRPr="00CE1E83" w:rsidRDefault="001741D2" w:rsidP="001741D2">
      <w:pPr>
        <w:pStyle w:val="system"/>
        <w:jc w:val="both"/>
        <w:rPr>
          <w:color w:val="000000"/>
        </w:rPr>
      </w:pPr>
      <w:r w:rsidRPr="00CE1E83">
        <w:rPr>
          <w:color w:val="000000"/>
        </w:rPr>
        <w:tab/>
      </w:r>
      <w:r w:rsidRPr="00CE1E83">
        <w:rPr>
          <w:color w:val="000000"/>
        </w:rPr>
        <w:tab/>
      </w:r>
      <w:r w:rsidRPr="00CE1E83">
        <w:rPr>
          <w:color w:val="000000"/>
        </w:rPr>
        <w:tab/>
        <w:t>(4.0 mils wet, 1.4 mils dry per coat)</w:t>
      </w:r>
      <w:r w:rsidRPr="00CE1E83">
        <w:rPr>
          <w:color w:val="000000"/>
        </w:rPr>
        <w:tab/>
      </w:r>
      <w:r w:rsidRPr="00CE1E83">
        <w:rPr>
          <w:bCs/>
          <w:color w:val="000000"/>
        </w:rPr>
        <w:t xml:space="preserve"> </w:t>
      </w:r>
      <w:hyperlink w:anchor="a" w:history="1"/>
    </w:p>
    <w:p w:rsidR="001741D2" w:rsidRPr="00CE1E83" w:rsidRDefault="001741D2" w:rsidP="001741D2">
      <w:pPr>
        <w:pStyle w:val="system"/>
        <w:jc w:val="both"/>
        <w:rPr>
          <w:b/>
          <w:bCs/>
          <w:color w:val="000000"/>
        </w:rPr>
      </w:pPr>
    </w:p>
    <w:p w:rsidR="001741D2" w:rsidRPr="00CE1E83" w:rsidRDefault="001741D2" w:rsidP="001741D2">
      <w:pPr>
        <w:pStyle w:val="system"/>
        <w:jc w:val="both"/>
        <w:rPr>
          <w:b/>
          <w:bCs/>
          <w:color w:val="000000"/>
        </w:rPr>
      </w:pPr>
      <w:r w:rsidRPr="00CE1E83">
        <w:rPr>
          <w:b/>
          <w:bCs/>
          <w:color w:val="000000"/>
        </w:rPr>
        <w:tab/>
      </w:r>
      <w:r w:rsidRPr="00CE1E83">
        <w:rPr>
          <w:b/>
          <w:bCs/>
          <w:color w:val="000000"/>
        </w:rPr>
        <w:tab/>
        <w:t>Early Moisture Resistant Finish</w:t>
      </w:r>
    </w:p>
    <w:p w:rsidR="00CC2EFD" w:rsidRPr="00560B0E" w:rsidRDefault="001741D2" w:rsidP="00CC2EFD">
      <w:pPr>
        <w:pStyle w:val="PR4"/>
      </w:pPr>
      <w:r w:rsidRPr="00CC2EFD">
        <w:rPr>
          <w:color w:val="000000"/>
        </w:rPr>
        <w:t>1st Coat:</w:t>
      </w:r>
      <w:r w:rsidRPr="00CC2EFD">
        <w:rPr>
          <w:color w:val="000000"/>
        </w:rPr>
        <w:tab/>
        <w:t xml:space="preserve">S-W </w:t>
      </w:r>
      <w:r w:rsidR="00CC2EFD" w:rsidRPr="00560B0E">
        <w:t xml:space="preserve">S-W </w:t>
      </w:r>
      <w:r w:rsidR="00CC2EFD">
        <w:t>PrepRite Problock Latex Primer</w:t>
      </w:r>
      <w:r w:rsidR="00CC2EFD" w:rsidRPr="00560B0E">
        <w:t xml:space="preserve">, at </w:t>
      </w:r>
      <w:r w:rsidR="00CC2EFD" w:rsidRPr="00CC2EFD">
        <w:rPr>
          <w:color w:val="FF0000"/>
        </w:rPr>
        <w:t>4.0 mils</w:t>
      </w:r>
      <w:r w:rsidR="00CC2EFD" w:rsidRPr="007E5DA1">
        <w:t xml:space="preserve">  wet, </w:t>
      </w:r>
      <w:r w:rsidR="00CC2EFD" w:rsidRPr="00CC2EFD">
        <w:rPr>
          <w:color w:val="FF0000"/>
        </w:rPr>
        <w:t xml:space="preserve">1.0 mils </w:t>
      </w:r>
      <w:r w:rsidR="00CC2EFD" w:rsidRPr="00560B0E">
        <w:t>dry.</w:t>
      </w:r>
    </w:p>
    <w:p w:rsidR="001741D2" w:rsidRPr="00CE1E83" w:rsidRDefault="00CC2EFD" w:rsidP="00CC2EFD">
      <w:pPr>
        <w:pStyle w:val="system"/>
        <w:ind w:left="0" w:firstLine="0"/>
        <w:jc w:val="both"/>
        <w:rPr>
          <w:color w:val="000000"/>
        </w:rPr>
      </w:pPr>
      <w:r>
        <w:rPr>
          <w:color w:val="000000"/>
        </w:rPr>
        <w:tab/>
      </w:r>
      <w:r>
        <w:rPr>
          <w:color w:val="000000"/>
        </w:rPr>
        <w:tab/>
      </w:r>
      <w:r>
        <w:rPr>
          <w:color w:val="000000"/>
        </w:rPr>
        <w:tab/>
      </w:r>
      <w:r w:rsidR="001741D2" w:rsidRPr="00CE1E83">
        <w:rPr>
          <w:color w:val="000000"/>
        </w:rPr>
        <w:t>2nd Coat:</w:t>
      </w:r>
      <w:r>
        <w:rPr>
          <w:color w:val="000000"/>
        </w:rPr>
        <w:t xml:space="preserve"> </w:t>
      </w:r>
      <w:r w:rsidR="001741D2" w:rsidRPr="00CE1E83">
        <w:rPr>
          <w:color w:val="000000"/>
        </w:rPr>
        <w:t>S-W Latitude</w:t>
      </w:r>
      <w:r w:rsidR="001741D2" w:rsidRPr="00CE1E83">
        <w:rPr>
          <w:color w:val="000000"/>
          <w:vertAlign w:val="superscript"/>
        </w:rPr>
        <w:t>™</w:t>
      </w:r>
      <w:r w:rsidR="001741D2" w:rsidRPr="00CE1E83">
        <w:rPr>
          <w:color w:val="000000"/>
        </w:rPr>
        <w:t xml:space="preserve"> Acrylic </w:t>
      </w:r>
      <w:bookmarkStart w:id="9" w:name="_Hlk73958852"/>
      <w:r w:rsidR="001741D2" w:rsidRPr="00CE1E83">
        <w:rPr>
          <w:color w:val="000000"/>
        </w:rPr>
        <w:t>Satin</w:t>
      </w:r>
      <w:bookmarkEnd w:id="9"/>
      <w:r w:rsidR="001741D2" w:rsidRPr="00CE1E83">
        <w:rPr>
          <w:rFonts w:cs="Arial"/>
          <w:color w:val="000000"/>
          <w:sz w:val="16"/>
          <w:szCs w:val="16"/>
          <w:vertAlign w:val="superscript"/>
        </w:rPr>
        <w:t>†</w:t>
      </w:r>
      <w:r w:rsidR="001741D2" w:rsidRPr="00CE1E83">
        <w:rPr>
          <w:color w:val="000000"/>
        </w:rPr>
        <w:t>, K62 Series</w:t>
      </w:r>
    </w:p>
    <w:p w:rsidR="001741D2" w:rsidRPr="00CE1E83" w:rsidRDefault="001741D2" w:rsidP="001741D2">
      <w:pPr>
        <w:pStyle w:val="system"/>
        <w:jc w:val="both"/>
        <w:rPr>
          <w:color w:val="000000"/>
        </w:rPr>
      </w:pPr>
      <w:r w:rsidRPr="00CE1E83">
        <w:rPr>
          <w:color w:val="000000"/>
        </w:rPr>
        <w:tab/>
      </w:r>
      <w:r w:rsidRPr="00CE1E83">
        <w:rPr>
          <w:color w:val="000000"/>
        </w:rPr>
        <w:tab/>
      </w:r>
      <w:r w:rsidR="00CC2EFD">
        <w:rPr>
          <w:color w:val="000000"/>
        </w:rPr>
        <w:tab/>
        <w:t>3</w:t>
      </w:r>
      <w:r w:rsidR="00CC2EFD" w:rsidRPr="00CC2EFD">
        <w:rPr>
          <w:color w:val="000000"/>
          <w:vertAlign w:val="superscript"/>
        </w:rPr>
        <w:t>rd</w:t>
      </w:r>
      <w:r w:rsidR="00CC2EFD">
        <w:rPr>
          <w:color w:val="000000"/>
        </w:rPr>
        <w:t xml:space="preserve"> Coat:</w:t>
      </w:r>
      <w:r w:rsidRPr="00CE1E83">
        <w:rPr>
          <w:color w:val="000000"/>
        </w:rPr>
        <w:t xml:space="preserve"> </w:t>
      </w:r>
      <w:r w:rsidR="00CC2EFD">
        <w:rPr>
          <w:color w:val="000000"/>
        </w:rPr>
        <w:t xml:space="preserve">  S-W </w:t>
      </w:r>
      <w:r w:rsidRPr="00CE1E83">
        <w:rPr>
          <w:color w:val="000000"/>
        </w:rPr>
        <w:t>Latitude</w:t>
      </w:r>
      <w:r w:rsidRPr="00CE1E83">
        <w:rPr>
          <w:color w:val="000000"/>
          <w:vertAlign w:val="superscript"/>
        </w:rPr>
        <w:t>™</w:t>
      </w:r>
      <w:r w:rsidRPr="00CE1E83">
        <w:rPr>
          <w:color w:val="000000"/>
        </w:rPr>
        <w:t xml:space="preserve"> Acrylic Satin</w:t>
      </w:r>
      <w:r w:rsidRPr="00CE1E83">
        <w:rPr>
          <w:rFonts w:cs="Arial"/>
          <w:color w:val="000000"/>
          <w:sz w:val="16"/>
          <w:szCs w:val="16"/>
          <w:vertAlign w:val="superscript"/>
        </w:rPr>
        <w:t>†</w:t>
      </w:r>
      <w:r w:rsidRPr="00CE1E83">
        <w:rPr>
          <w:color w:val="000000"/>
        </w:rPr>
        <w:t>, K62 Series</w:t>
      </w:r>
    </w:p>
    <w:p w:rsidR="001741D2" w:rsidRPr="00CE1E83" w:rsidRDefault="001741D2" w:rsidP="001741D2">
      <w:pPr>
        <w:pStyle w:val="system"/>
        <w:jc w:val="both"/>
        <w:rPr>
          <w:color w:val="000000"/>
        </w:rPr>
      </w:pPr>
      <w:r w:rsidRPr="00CE1E83">
        <w:rPr>
          <w:color w:val="000000"/>
        </w:rPr>
        <w:tab/>
      </w:r>
      <w:r w:rsidRPr="00CE1E83">
        <w:rPr>
          <w:color w:val="000000"/>
        </w:rPr>
        <w:tab/>
      </w:r>
      <w:r w:rsidRPr="00CE1E83">
        <w:rPr>
          <w:color w:val="000000"/>
        </w:rPr>
        <w:tab/>
        <w:t>(4.0 mils wet, 1.4 mils dry per coat)</w:t>
      </w:r>
    </w:p>
    <w:p w:rsidR="001741D2" w:rsidRPr="00CE1E83" w:rsidRDefault="001741D2" w:rsidP="001741D2">
      <w:pPr>
        <w:pStyle w:val="system"/>
        <w:jc w:val="both"/>
        <w:rPr>
          <w:color w:val="000000"/>
        </w:rPr>
      </w:pPr>
    </w:p>
    <w:p w:rsidR="001741D2" w:rsidRPr="00CE1E83" w:rsidRDefault="001741D2" w:rsidP="001741D2">
      <w:pPr>
        <w:pStyle w:val="system"/>
        <w:jc w:val="both"/>
        <w:rPr>
          <w:b/>
          <w:bCs/>
          <w:color w:val="000000"/>
        </w:rPr>
      </w:pPr>
      <w:r w:rsidRPr="00CE1E83">
        <w:rPr>
          <w:b/>
          <w:bCs/>
          <w:color w:val="000000"/>
        </w:rPr>
        <w:tab/>
      </w:r>
      <w:r w:rsidRPr="00CE1E83">
        <w:rPr>
          <w:b/>
          <w:bCs/>
          <w:color w:val="000000"/>
        </w:rPr>
        <w:tab/>
      </w:r>
    </w:p>
    <w:p w:rsidR="001741D2" w:rsidRPr="00CE1E83" w:rsidRDefault="001741D2" w:rsidP="001741D2">
      <w:pPr>
        <w:pStyle w:val="system"/>
        <w:jc w:val="both"/>
        <w:rPr>
          <w:b/>
          <w:bCs/>
          <w:color w:val="000000"/>
        </w:rPr>
      </w:pPr>
      <w:r w:rsidRPr="00CE1E83">
        <w:rPr>
          <w:b/>
          <w:bCs/>
          <w:color w:val="000000"/>
        </w:rPr>
        <w:tab/>
      </w:r>
      <w:r w:rsidRPr="00CE1E83">
        <w:rPr>
          <w:b/>
          <w:bCs/>
          <w:color w:val="000000"/>
        </w:rPr>
        <w:tab/>
        <w:t>Self-Cleaning Acrylic Finish</w:t>
      </w:r>
    </w:p>
    <w:p w:rsidR="00CC2EFD" w:rsidRPr="00560B0E" w:rsidRDefault="001741D2" w:rsidP="00CC2EFD">
      <w:pPr>
        <w:pStyle w:val="PR4"/>
      </w:pPr>
      <w:r w:rsidRPr="00CC2EFD">
        <w:rPr>
          <w:color w:val="000000"/>
        </w:rPr>
        <w:t>1st Coat:</w:t>
      </w:r>
      <w:r w:rsidRPr="00CC2EFD">
        <w:rPr>
          <w:color w:val="000000"/>
        </w:rPr>
        <w:tab/>
      </w:r>
      <w:r w:rsidR="00CC2EFD" w:rsidRPr="00560B0E">
        <w:t xml:space="preserve">S-W </w:t>
      </w:r>
      <w:r w:rsidR="00CC2EFD">
        <w:t>PrepRite Problock Latex Primer</w:t>
      </w:r>
      <w:r w:rsidR="00CC2EFD" w:rsidRPr="00560B0E">
        <w:t xml:space="preserve">, at </w:t>
      </w:r>
      <w:r w:rsidR="00CC2EFD" w:rsidRPr="00CC2EFD">
        <w:rPr>
          <w:color w:val="FF0000"/>
        </w:rPr>
        <w:t>4.0 mils</w:t>
      </w:r>
      <w:r w:rsidR="00CC2EFD" w:rsidRPr="007E5DA1">
        <w:t xml:space="preserve">  wet, </w:t>
      </w:r>
      <w:r w:rsidR="00CC2EFD" w:rsidRPr="00CC2EFD">
        <w:rPr>
          <w:color w:val="FF0000"/>
        </w:rPr>
        <w:t xml:space="preserve">1.0 mils </w:t>
      </w:r>
      <w:r w:rsidR="00CC2EFD" w:rsidRPr="00560B0E">
        <w:t>dry.</w:t>
      </w:r>
    </w:p>
    <w:p w:rsidR="001741D2" w:rsidRPr="00CE1E83" w:rsidRDefault="001741D2" w:rsidP="00CC2EFD">
      <w:pPr>
        <w:pStyle w:val="system"/>
        <w:jc w:val="both"/>
        <w:rPr>
          <w:color w:val="000000"/>
        </w:rPr>
      </w:pPr>
      <w:r w:rsidRPr="00CE1E83">
        <w:rPr>
          <w:color w:val="000000"/>
        </w:rPr>
        <w:tab/>
      </w:r>
      <w:r w:rsidRPr="00CE1E83">
        <w:rPr>
          <w:color w:val="000000"/>
        </w:rPr>
        <w:tab/>
      </w:r>
      <w:r w:rsidR="00CC2EFD">
        <w:rPr>
          <w:color w:val="000000"/>
        </w:rPr>
        <w:tab/>
        <w:t xml:space="preserve">2nd Coat: </w:t>
      </w:r>
      <w:r w:rsidRPr="00CE1E83">
        <w:rPr>
          <w:color w:val="000000"/>
        </w:rPr>
        <w:t>S-W Loxon</w:t>
      </w:r>
      <w:r w:rsidRPr="00CE1E83">
        <w:rPr>
          <w:color w:val="000000"/>
          <w:vertAlign w:val="superscript"/>
        </w:rPr>
        <w:t>®</w:t>
      </w:r>
      <w:r w:rsidRPr="00CE1E83">
        <w:rPr>
          <w:color w:val="000000"/>
        </w:rPr>
        <w:t xml:space="preserve"> Self-Cleaning Acrylic</w:t>
      </w:r>
      <w:r w:rsidRPr="00F05B44">
        <w:rPr>
          <w:color w:val="000000"/>
          <w:sz w:val="16"/>
          <w:szCs w:val="16"/>
        </w:rPr>
        <w:t>*</w:t>
      </w:r>
      <w:r w:rsidRPr="00CE1E83">
        <w:rPr>
          <w:color w:val="000000"/>
        </w:rPr>
        <w:t xml:space="preserve">, LX14 Series </w:t>
      </w:r>
    </w:p>
    <w:p w:rsidR="001741D2" w:rsidRPr="00CE1E83" w:rsidRDefault="001741D2" w:rsidP="001741D2">
      <w:pPr>
        <w:pStyle w:val="system"/>
        <w:jc w:val="both"/>
        <w:rPr>
          <w:color w:val="000000"/>
        </w:rPr>
      </w:pPr>
      <w:r w:rsidRPr="00CE1E83">
        <w:rPr>
          <w:color w:val="000000"/>
        </w:rPr>
        <w:tab/>
      </w:r>
      <w:r w:rsidRPr="00CE1E83">
        <w:rPr>
          <w:color w:val="000000"/>
        </w:rPr>
        <w:tab/>
      </w:r>
      <w:r w:rsidR="00CC2EFD">
        <w:rPr>
          <w:color w:val="000000"/>
        </w:rPr>
        <w:tab/>
      </w:r>
      <w:r w:rsidRPr="00CE1E83">
        <w:rPr>
          <w:color w:val="000000"/>
        </w:rPr>
        <w:t>3rd Coat:</w:t>
      </w:r>
      <w:r w:rsidR="00CC2EFD">
        <w:rPr>
          <w:color w:val="000000"/>
        </w:rPr>
        <w:t xml:space="preserve">  </w:t>
      </w:r>
      <w:r w:rsidRPr="00CE1E83">
        <w:rPr>
          <w:color w:val="000000"/>
        </w:rPr>
        <w:t>S-W Loxon</w:t>
      </w:r>
      <w:r w:rsidRPr="00CE1E83">
        <w:rPr>
          <w:color w:val="000000"/>
          <w:vertAlign w:val="superscript"/>
        </w:rPr>
        <w:t>®</w:t>
      </w:r>
      <w:r w:rsidRPr="00CE1E83">
        <w:rPr>
          <w:color w:val="000000"/>
        </w:rPr>
        <w:t xml:space="preserve"> Self-Cleaning Acrylic</w:t>
      </w:r>
      <w:r w:rsidRPr="00F05B44">
        <w:rPr>
          <w:color w:val="000000"/>
          <w:sz w:val="16"/>
          <w:szCs w:val="16"/>
        </w:rPr>
        <w:t>*</w:t>
      </w:r>
      <w:r w:rsidRPr="00CE1E83">
        <w:rPr>
          <w:color w:val="000000"/>
        </w:rPr>
        <w:t>, LX14 Series</w:t>
      </w:r>
    </w:p>
    <w:p w:rsidR="001741D2" w:rsidRPr="00CE1E83" w:rsidRDefault="001741D2" w:rsidP="001741D2">
      <w:pPr>
        <w:pStyle w:val="system"/>
        <w:jc w:val="both"/>
        <w:rPr>
          <w:color w:val="000000"/>
        </w:rPr>
      </w:pPr>
      <w:r w:rsidRPr="00CE1E83">
        <w:rPr>
          <w:color w:val="000000"/>
        </w:rPr>
        <w:tab/>
      </w:r>
      <w:r w:rsidRPr="00CE1E83">
        <w:rPr>
          <w:color w:val="000000"/>
        </w:rPr>
        <w:tab/>
      </w:r>
      <w:r w:rsidRPr="00CE1E83">
        <w:rPr>
          <w:color w:val="000000"/>
        </w:rPr>
        <w:tab/>
        <w:t>(5.0-7.0 mils wet, 2.0-2.8 mils dry per coat)</w:t>
      </w:r>
    </w:p>
    <w:p w:rsidR="001741D2" w:rsidRPr="00CE1E83" w:rsidRDefault="001741D2" w:rsidP="001741D2">
      <w:pPr>
        <w:pStyle w:val="system"/>
        <w:jc w:val="both"/>
        <w:rPr>
          <w:color w:val="000000"/>
        </w:rPr>
      </w:pPr>
    </w:p>
    <w:p w:rsidR="001741D2" w:rsidRPr="00CE1E83" w:rsidRDefault="001741D2" w:rsidP="001741D2">
      <w:pPr>
        <w:pStyle w:val="system"/>
        <w:jc w:val="both"/>
        <w:rPr>
          <w:b/>
          <w:bCs/>
          <w:color w:val="000000"/>
        </w:rPr>
      </w:pPr>
      <w:r w:rsidRPr="00CE1E83">
        <w:rPr>
          <w:b/>
          <w:bCs/>
          <w:color w:val="000000"/>
        </w:rPr>
        <w:tab/>
      </w:r>
      <w:r w:rsidRPr="00CE1E83">
        <w:rPr>
          <w:b/>
          <w:bCs/>
          <w:color w:val="000000"/>
        </w:rPr>
        <w:tab/>
        <w:t>High Build Coating</w:t>
      </w:r>
    </w:p>
    <w:p w:rsidR="001741D2" w:rsidRPr="00CE1E83" w:rsidRDefault="001741D2" w:rsidP="001741D2">
      <w:pPr>
        <w:pStyle w:val="system"/>
        <w:jc w:val="both"/>
        <w:rPr>
          <w:color w:val="000000"/>
        </w:rPr>
      </w:pPr>
      <w:r w:rsidRPr="00CE1E83">
        <w:rPr>
          <w:b/>
          <w:bCs/>
          <w:color w:val="000000"/>
        </w:rPr>
        <w:tab/>
      </w:r>
      <w:r w:rsidRPr="00CE1E83">
        <w:rPr>
          <w:b/>
          <w:bCs/>
          <w:color w:val="000000"/>
        </w:rPr>
        <w:tab/>
      </w:r>
      <w:r w:rsidRPr="00CE1E83">
        <w:rPr>
          <w:color w:val="000000"/>
        </w:rPr>
        <w:t>1st Coat:</w:t>
      </w:r>
      <w:r w:rsidRPr="00CE1E83">
        <w:rPr>
          <w:color w:val="000000"/>
        </w:rPr>
        <w:tab/>
        <w:t>S-W Loxon</w:t>
      </w:r>
      <w:r w:rsidRPr="00CE1E83">
        <w:rPr>
          <w:color w:val="000000"/>
          <w:vertAlign w:val="superscript"/>
        </w:rPr>
        <w:t>®</w:t>
      </w:r>
      <w:r w:rsidRPr="00CE1E83">
        <w:rPr>
          <w:color w:val="000000"/>
        </w:rPr>
        <w:t xml:space="preserve"> XP</w:t>
      </w:r>
      <w:r w:rsidR="00CC2EFD">
        <w:rPr>
          <w:color w:val="000000"/>
        </w:rPr>
        <w:t xml:space="preserve"> Waterproof Coating </w:t>
      </w:r>
      <w:r w:rsidRPr="00CE1E83">
        <w:rPr>
          <w:rFonts w:cs="Arial"/>
          <w:color w:val="000000"/>
          <w:vertAlign w:val="superscript"/>
        </w:rPr>
        <w:t>™</w:t>
      </w:r>
      <w:r w:rsidRPr="00CE1E83">
        <w:rPr>
          <w:color w:val="000000"/>
        </w:rPr>
        <w:t>, LX21 Series</w:t>
      </w:r>
    </w:p>
    <w:p w:rsidR="001741D2" w:rsidRPr="00CE1E83" w:rsidRDefault="001741D2" w:rsidP="001741D2">
      <w:pPr>
        <w:pStyle w:val="system"/>
        <w:jc w:val="both"/>
        <w:rPr>
          <w:color w:val="000000"/>
        </w:rPr>
      </w:pPr>
      <w:r w:rsidRPr="00CE1E83">
        <w:rPr>
          <w:color w:val="000000"/>
        </w:rPr>
        <w:tab/>
      </w:r>
      <w:r w:rsidRPr="00CE1E83">
        <w:rPr>
          <w:color w:val="000000"/>
        </w:rPr>
        <w:tab/>
      </w:r>
      <w:r w:rsidRPr="00CE1E83">
        <w:rPr>
          <w:color w:val="000000"/>
        </w:rPr>
        <w:tab/>
        <w:t>(17.0-21.5 mils wet; 6.5-8.2 mils dry per coat)</w:t>
      </w:r>
    </w:p>
    <w:p w:rsidR="001741D2" w:rsidRPr="00AB6DAC" w:rsidRDefault="001741D2" w:rsidP="001741D2">
      <w:pPr>
        <w:pStyle w:val="system"/>
        <w:jc w:val="both"/>
        <w:rPr>
          <w:color w:val="000000"/>
        </w:rPr>
      </w:pPr>
    </w:p>
    <w:p w:rsidR="001741D2" w:rsidRPr="001603E3" w:rsidRDefault="00CC2EFD" w:rsidP="001741D2">
      <w:pPr>
        <w:pStyle w:val="system"/>
        <w:jc w:val="both"/>
        <w:rPr>
          <w:color w:val="000000"/>
        </w:rPr>
      </w:pPr>
      <w:bookmarkStart w:id="10" w:name="_Hlk74139943"/>
      <w:r>
        <w:rPr>
          <w:color w:val="000000"/>
        </w:rPr>
        <w:tab/>
      </w:r>
    </w:p>
    <w:bookmarkEnd w:id="10"/>
    <w:p w:rsidR="001741D2" w:rsidRDefault="001741D2" w:rsidP="001741D2">
      <w:pPr>
        <w:pStyle w:val="system"/>
        <w:jc w:val="both"/>
        <w:rPr>
          <w:color w:val="000000"/>
        </w:rPr>
      </w:pPr>
    </w:p>
    <w:p w:rsidR="001741D2" w:rsidRPr="00266A78" w:rsidRDefault="001741D2" w:rsidP="001741D2">
      <w:pPr>
        <w:pStyle w:val="system"/>
        <w:jc w:val="both"/>
        <w:rPr>
          <w:color w:val="000000"/>
        </w:rPr>
      </w:pPr>
    </w:p>
    <w:bookmarkEnd w:id="2"/>
    <w:p w:rsidR="001741D2" w:rsidRPr="006E3332" w:rsidRDefault="001741D2">
      <w:pPr>
        <w:pStyle w:val="EOS"/>
        <w:rPr>
          <w:szCs w:val="22"/>
        </w:rPr>
      </w:pPr>
    </w:p>
    <w:sectPr w:rsidR="001741D2" w:rsidRPr="006E3332">
      <w:headerReference w:type="default" r:id="rId7"/>
      <w:footerReference w:type="default" r:id="rId8"/>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449" w:rsidRDefault="00C52449">
      <w:r>
        <w:separator/>
      </w:r>
    </w:p>
  </w:endnote>
  <w:endnote w:type="continuationSeparator" w:id="0">
    <w:p w:rsidR="00C52449" w:rsidRDefault="00C52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5" w:type="dxa"/>
        <w:right w:w="65" w:type="dxa"/>
      </w:tblCellMar>
      <w:tblLook w:val="0000" w:firstRow="0" w:lastRow="0" w:firstColumn="0" w:lastColumn="0" w:noHBand="0" w:noVBand="0"/>
    </w:tblPr>
    <w:tblGrid>
      <w:gridCol w:w="7632"/>
      <w:gridCol w:w="1872"/>
    </w:tblGrid>
    <w:tr w:rsidR="00CE5B72">
      <w:tc>
        <w:tcPr>
          <w:tcW w:w="7632" w:type="dxa"/>
        </w:tcPr>
        <w:p w:rsidR="00CE5B72" w:rsidRDefault="00CE5B72">
          <w:pPr>
            <w:pStyle w:val="FTR"/>
          </w:pPr>
        </w:p>
      </w:tc>
      <w:tc>
        <w:tcPr>
          <w:tcW w:w="1872" w:type="dxa"/>
        </w:tcPr>
        <w:p w:rsidR="00CE5B72" w:rsidRDefault="00CC2EFD">
          <w:pPr>
            <w:pStyle w:val="RJUST"/>
          </w:pPr>
          <w:r>
            <w:rPr>
              <w:rStyle w:val="NUM"/>
            </w:rPr>
            <w:t>09900</w:t>
          </w:r>
          <w:r w:rsidR="00CE5B72">
            <w:t xml:space="preserve"> - </w:t>
          </w:r>
          <w:r w:rsidR="00CE5B72">
            <w:fldChar w:fldCharType="begin"/>
          </w:r>
          <w:r w:rsidR="00CE5B72">
            <w:instrText xml:space="preserve"> PAGE </w:instrText>
          </w:r>
          <w:r w:rsidR="00CE5B72">
            <w:fldChar w:fldCharType="separate"/>
          </w:r>
          <w:r>
            <w:rPr>
              <w:noProof/>
            </w:rPr>
            <w:t>1</w:t>
          </w:r>
          <w:r w:rsidR="00CE5B72">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449" w:rsidRDefault="00C52449">
      <w:r>
        <w:separator/>
      </w:r>
    </w:p>
  </w:footnote>
  <w:footnote w:type="continuationSeparator" w:id="0">
    <w:p w:rsidR="00C52449" w:rsidRDefault="00C524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B72" w:rsidRPr="00143449" w:rsidRDefault="00CE5B72" w:rsidP="00B114CA">
    <w:pPr>
      <w:tabs>
        <w:tab w:val="center" w:pos="4680"/>
        <w:tab w:val="right" w:pos="9360"/>
      </w:tabs>
      <w:jc w:val="center"/>
    </w:pPr>
    <w:r w:rsidRPr="00143449">
      <w:t>PRODUCT MASTERSPEC LICENSED BY ARCOM TO THE SHERWIN-WILLIAMS COMPANY.</w:t>
    </w:r>
  </w:p>
  <w:p w:rsidR="00CE5B72" w:rsidRDefault="00CE5B72">
    <w:pPr>
      <w:pStyle w:val="H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C518DFB6"/>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rPr>
        <w:color w:val="auto"/>
      </w:r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I" w:val="09/01/14"/>
    <w:docVar w:name="Format" w:val="1"/>
    <w:docVar w:name="MF04" w:val="099123"/>
    <w:docVar w:name="MF95" w:val="09912"/>
    <w:docVar w:name="MFOrigin" w:val="MF04"/>
    <w:docVar w:name="SectionID" w:val="303"/>
    <w:docVar w:name="SpecType" w:val="MasterSpec"/>
    <w:docVar w:name="userSustainabilityVar_14_1" w:val="14^userSustainabilityTopic_14_1^1,^&lt;SustainabilityTopic id=&quot;14&quot;&gt;&lt;TopicText id=&quot;182&quot;&gt;&lt;RatingSystems&gt;&lt;System id=&quot;1&quot;/&gt;&lt;/RatingSystems&gt;_x000d__x000a__x0009__x0009_&lt;Content&gt;&lt;CMT&gt;&quot;Product Data&quot; Subparagraph below applies to LEED 2009 NC, CI, and CS; LEED v4; IgCC; ASHRAE 189.1; and Green Globes. Coordinate with requirements for paints and coatings.&lt;/CMT&gt;&lt;PR2&gt;Product Data: For paints and coatings, indicating VOC content.&lt;/PR2&gt;&lt;/Content&gt;_x000d__x000a__x0009_&lt;/TopicText&gt;&lt;TopicText id=&quot;183&quot;&gt;&lt;RatingSystems&gt;&lt;System id=&quot;1&quot;/&gt;&lt;/RatingSystems&gt;_x000d__x000a__x0009__x0009_&lt;Content&gt;&lt;CMT&gt;&quot;Laboratory Test Reports&quot; Subparagraph below applies to LEED 2009 for Schools, LEED v4, IgCC, ASHRAE 189.1, and Green Globes. Coordinate with requirements for paints and coatings.&lt;/CMT&gt;&lt;PR2&gt;Laboratory Test Reports: For paints and coatings, indicating compliance with requirements for low-emitting materials.&lt;/PR2&gt;&lt;/Content&gt;_x000d__x000a__x0009_&lt;/TopicText&gt;&lt;/SustainabilityTopic&gt;"/>
    <w:docVar w:name="userSustainabilityVar_211_1" w:val="211^userSustainabilityTopic_211_1^1,^&lt;SustainabilityTopic id=&quot;211&quot;&gt;&lt;TopicText id=&quot;773&quot;&gt;&lt;RatingSystems&gt;&lt;System id=&quot;1&quot;/&gt;&lt;/RatingSystems&gt;_x000d__x000a__x0009__x0009_&lt;Content&gt;&lt;CMT&gt;&quot;VOC Content&quot; Paragraph below applies to LEED 2009 NC, CI, and CS Credit IEQ 4.2.&lt;/CMT&gt;&lt;PR1&gt;VOC Content: For field applications that are inside the weatherproofing system, paints and coatings shall comply with VOC content limits of authorities having jurisdiction and the following VOC content limits:&lt;/PR1&gt;&lt;CMT&gt;Categories in subparagraphs below are taken from LEED rating systems and the standards referenced by them; if clarification is required, see those documents or the reference guides.&lt;/CMT&gt;&lt;PR2&gt;Flat Paints and Coatings: 50 g/L.&lt;/PR2&gt;&lt;PR2&gt;Nonflat Paints and Coatings: 150 g/L.&lt;/PR2&gt;&lt;PR2&gt;Dry-Fog Coatings: 400 g/L.&lt;/PR2&gt;&lt;PR2&gt;Primers, Sealers, and Undercoaters: 200 g/L.&lt;/PR2&gt;&lt;PR2&gt;Anticorrosive and Antirust Paints Applied to Ferrous Metals: 250 g/L.&lt;/PR2&gt;&lt;PR2&gt;Zinc-Rich Industrial Maintenance Primers: 340 g/L.&lt;/PR2&gt;&lt;PR2&gt;Pretreatment Wash Primers: 420 g/L.&lt;/PR2&gt;&lt;PR2&gt;Shellacs, Clear: 730 g/L.&lt;/PR2&gt;&lt;PR2&gt;Shellacs, Pigmented: 550 g/L.&lt;/PR2&gt;&lt;CMT&gt;&quot;Low-Emitting Materials&quot; Paragraph below applies to LEED 2009 for Schools.&lt;/CMT&gt;&lt;PR1&gt;Low-Emitting Materials: Interior paints and coatings shall comply with the testing and product requirements of the California Department of Public Health's &quot;Standard Method for the Testing and Evaluation of Volatile Organic Chemical Emissions from Indoor Sources Using Environmental Chambers.&quot;&lt;/PR1&gt;&lt;/Content&gt;_x000d__x000a__x0009_&lt;/TopicText&gt;&lt;/SustainabilityTopic&gt;"/>
    <w:docVar w:name="Version" w:val="11488"/>
  </w:docVars>
  <w:rsids>
    <w:rsidRoot w:val="00DF6DBD"/>
    <w:rsid w:val="00085D6F"/>
    <w:rsid w:val="00092B98"/>
    <w:rsid w:val="000F1ED1"/>
    <w:rsid w:val="000F3987"/>
    <w:rsid w:val="000F3FDB"/>
    <w:rsid w:val="001741D2"/>
    <w:rsid w:val="00240F9B"/>
    <w:rsid w:val="00251715"/>
    <w:rsid w:val="003856D2"/>
    <w:rsid w:val="003B791A"/>
    <w:rsid w:val="003C358F"/>
    <w:rsid w:val="003D2E0A"/>
    <w:rsid w:val="003E17FA"/>
    <w:rsid w:val="00426C5B"/>
    <w:rsid w:val="00492C1F"/>
    <w:rsid w:val="004935B8"/>
    <w:rsid w:val="004C4F57"/>
    <w:rsid w:val="004C578F"/>
    <w:rsid w:val="00560B0E"/>
    <w:rsid w:val="00595572"/>
    <w:rsid w:val="005E610A"/>
    <w:rsid w:val="005F0CBB"/>
    <w:rsid w:val="006123DE"/>
    <w:rsid w:val="00621E65"/>
    <w:rsid w:val="006407B9"/>
    <w:rsid w:val="006A56E4"/>
    <w:rsid w:val="006B6CBA"/>
    <w:rsid w:val="006E3332"/>
    <w:rsid w:val="007365E2"/>
    <w:rsid w:val="0075759B"/>
    <w:rsid w:val="007765E6"/>
    <w:rsid w:val="00777BB0"/>
    <w:rsid w:val="007A249D"/>
    <w:rsid w:val="007A557B"/>
    <w:rsid w:val="00834CA0"/>
    <w:rsid w:val="0086112F"/>
    <w:rsid w:val="00897AE1"/>
    <w:rsid w:val="008A4032"/>
    <w:rsid w:val="008F1D1F"/>
    <w:rsid w:val="008F384B"/>
    <w:rsid w:val="009229D0"/>
    <w:rsid w:val="00924301"/>
    <w:rsid w:val="00976E3A"/>
    <w:rsid w:val="0098114C"/>
    <w:rsid w:val="009F1D6D"/>
    <w:rsid w:val="00A02BA6"/>
    <w:rsid w:val="00A353B1"/>
    <w:rsid w:val="00A549FC"/>
    <w:rsid w:val="00A87A54"/>
    <w:rsid w:val="00AB4CA3"/>
    <w:rsid w:val="00AD3098"/>
    <w:rsid w:val="00B06054"/>
    <w:rsid w:val="00B114CA"/>
    <w:rsid w:val="00B57496"/>
    <w:rsid w:val="00B60F2E"/>
    <w:rsid w:val="00B72B34"/>
    <w:rsid w:val="00C52449"/>
    <w:rsid w:val="00C93803"/>
    <w:rsid w:val="00CC2EFD"/>
    <w:rsid w:val="00CE5B72"/>
    <w:rsid w:val="00D53EFD"/>
    <w:rsid w:val="00D61E1F"/>
    <w:rsid w:val="00D66195"/>
    <w:rsid w:val="00DA0DC1"/>
    <w:rsid w:val="00DF0CB5"/>
    <w:rsid w:val="00DF6DBD"/>
    <w:rsid w:val="00E250DD"/>
    <w:rsid w:val="00E378A1"/>
    <w:rsid w:val="00E4308E"/>
    <w:rsid w:val="00E92F19"/>
    <w:rsid w:val="00E9613C"/>
    <w:rsid w:val="00ED0675"/>
    <w:rsid w:val="00F144F7"/>
    <w:rsid w:val="00F45B0F"/>
    <w:rsid w:val="00F517D3"/>
    <w:rsid w:val="00FD7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BD39FD1-A24C-461E-ABA1-173219C7D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pPr>
      <w:suppressAutoHyphens/>
      <w:spacing w:before="240"/>
      <w:jc w:val="both"/>
    </w:pPr>
    <w:rPr>
      <w:vanish/>
      <w:color w:val="0000FF"/>
      <w:sz w:val="20"/>
      <w:lang w:val="x-none" w:eastAsia="x-none"/>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paragraph" w:styleId="Header">
    <w:name w:val="header"/>
    <w:basedOn w:val="Normal"/>
    <w:link w:val="HeaderChar"/>
    <w:uiPriority w:val="99"/>
    <w:unhideWhenUsed/>
    <w:rsid w:val="00DF6DBD"/>
    <w:pPr>
      <w:tabs>
        <w:tab w:val="center" w:pos="4680"/>
        <w:tab w:val="right" w:pos="9360"/>
      </w:tabs>
    </w:pPr>
  </w:style>
  <w:style w:type="character" w:customStyle="1" w:styleId="HeaderChar">
    <w:name w:val="Header Char"/>
    <w:basedOn w:val="DefaultParagraphFont"/>
    <w:link w:val="Header"/>
    <w:uiPriority w:val="99"/>
    <w:rsid w:val="00DF6DBD"/>
  </w:style>
  <w:style w:type="paragraph" w:styleId="Footer">
    <w:name w:val="footer"/>
    <w:basedOn w:val="Normal"/>
    <w:link w:val="FooterChar"/>
    <w:uiPriority w:val="99"/>
    <w:unhideWhenUsed/>
    <w:rsid w:val="00DF6DBD"/>
    <w:pPr>
      <w:tabs>
        <w:tab w:val="center" w:pos="4680"/>
        <w:tab w:val="right" w:pos="9360"/>
      </w:tabs>
    </w:pPr>
  </w:style>
  <w:style w:type="character" w:customStyle="1" w:styleId="FooterChar">
    <w:name w:val="Footer Char"/>
    <w:basedOn w:val="DefaultParagraphFont"/>
    <w:link w:val="Footer"/>
    <w:uiPriority w:val="99"/>
    <w:rsid w:val="00DF6DBD"/>
  </w:style>
  <w:style w:type="paragraph" w:customStyle="1" w:styleId="TIP">
    <w:name w:val="TIP"/>
    <w:basedOn w:val="Normal"/>
    <w:link w:val="TIPChar"/>
    <w:rsid w:val="00E4308E"/>
    <w:pPr>
      <w:pBdr>
        <w:top w:val="single" w:sz="4" w:space="3" w:color="auto"/>
        <w:left w:val="single" w:sz="4" w:space="4" w:color="auto"/>
        <w:bottom w:val="single" w:sz="4" w:space="3" w:color="auto"/>
        <w:right w:val="single" w:sz="4" w:space="4" w:color="auto"/>
      </w:pBdr>
      <w:spacing w:before="240"/>
    </w:pPr>
    <w:rPr>
      <w:color w:val="B30838"/>
      <w:sz w:val="20"/>
      <w:lang w:val="x-none" w:eastAsia="x-none"/>
    </w:rPr>
  </w:style>
  <w:style w:type="character" w:customStyle="1" w:styleId="CMTChar">
    <w:name w:val="CMT Char"/>
    <w:link w:val="CMT"/>
    <w:rsid w:val="00E4308E"/>
    <w:rPr>
      <w:vanish/>
      <w:color w:val="0000FF"/>
      <w:lang w:val="x-none" w:eastAsia="x-none"/>
    </w:rPr>
  </w:style>
  <w:style w:type="character" w:customStyle="1" w:styleId="TIPChar">
    <w:name w:val="TIP Char"/>
    <w:link w:val="TIP"/>
    <w:rsid w:val="00E4308E"/>
    <w:rPr>
      <w:vanish w:val="0"/>
      <w:color w:val="B30838"/>
    </w:rPr>
  </w:style>
  <w:style w:type="character" w:customStyle="1" w:styleId="SAhyperlink">
    <w:name w:val="SAhyperlink"/>
    <w:uiPriority w:val="1"/>
    <w:qFormat/>
    <w:rsid w:val="00240F9B"/>
    <w:rPr>
      <w:color w:val="E36C0A"/>
      <w:u w:val="single"/>
    </w:rPr>
  </w:style>
  <w:style w:type="character" w:styleId="Hyperlink">
    <w:name w:val="Hyperlink"/>
    <w:uiPriority w:val="99"/>
    <w:unhideWhenUsed/>
    <w:rsid w:val="00240F9B"/>
    <w:rPr>
      <w:color w:val="0000FF"/>
      <w:u w:val="single"/>
    </w:rPr>
  </w:style>
  <w:style w:type="character" w:customStyle="1" w:styleId="SustHyperlink">
    <w:name w:val="SustHyperlink"/>
    <w:rsid w:val="00D66195"/>
    <w:rPr>
      <w:color w:val="009900"/>
      <w:u w:val="single"/>
    </w:rPr>
  </w:style>
  <w:style w:type="paragraph" w:customStyle="1" w:styleId="MPILink">
    <w:name w:val="MPILink"/>
    <w:basedOn w:val="Normal"/>
    <w:next w:val="Normal"/>
    <w:rsid w:val="003856D2"/>
    <w:pPr>
      <w:pBdr>
        <w:top w:val="single" w:sz="4" w:space="1" w:color="auto"/>
        <w:left w:val="single" w:sz="4" w:space="4" w:color="auto"/>
        <w:bottom w:val="single" w:sz="4" w:space="1" w:color="auto"/>
        <w:right w:val="single" w:sz="4" w:space="4" w:color="auto"/>
      </w:pBdr>
      <w:spacing w:before="240"/>
    </w:pPr>
    <w:rPr>
      <w:color w:val="0000FF"/>
    </w:rPr>
  </w:style>
  <w:style w:type="paragraph" w:styleId="DocumentMap">
    <w:name w:val="Document Map"/>
    <w:basedOn w:val="Normal"/>
    <w:link w:val="DocumentMapChar"/>
    <w:uiPriority w:val="99"/>
    <w:semiHidden/>
    <w:unhideWhenUsed/>
    <w:rsid w:val="003D2E0A"/>
    <w:rPr>
      <w:rFonts w:ascii="Tahoma" w:hAnsi="Tahoma" w:cs="Tahoma"/>
      <w:sz w:val="16"/>
      <w:szCs w:val="16"/>
    </w:rPr>
  </w:style>
  <w:style w:type="character" w:customStyle="1" w:styleId="DocumentMapChar">
    <w:name w:val="Document Map Char"/>
    <w:link w:val="DocumentMap"/>
    <w:uiPriority w:val="99"/>
    <w:semiHidden/>
    <w:rsid w:val="003D2E0A"/>
    <w:rPr>
      <w:rFonts w:ascii="Tahoma" w:hAnsi="Tahoma" w:cs="Tahoma"/>
      <w:sz w:val="16"/>
      <w:szCs w:val="16"/>
    </w:rPr>
  </w:style>
  <w:style w:type="paragraph" w:customStyle="1" w:styleId="PMCMT">
    <w:name w:val="PM_CMT"/>
    <w:basedOn w:val="Normal"/>
    <w:rsid w:val="00B114CA"/>
    <w:pPr>
      <w:pBdr>
        <w:top w:val="single" w:sz="4" w:space="1" w:color="auto" w:shadow="1"/>
        <w:left w:val="single" w:sz="4" w:space="4" w:color="auto" w:shadow="1"/>
        <w:bottom w:val="single" w:sz="4" w:space="1" w:color="auto" w:shadow="1"/>
        <w:right w:val="single" w:sz="4" w:space="4" w:color="auto" w:shadow="1"/>
      </w:pBdr>
      <w:shd w:val="clear" w:color="auto" w:fill="FFFFC5"/>
      <w:suppressAutoHyphens/>
      <w:spacing w:before="240"/>
      <w:jc w:val="both"/>
    </w:pPr>
    <w:rPr>
      <w:color w:val="FF0000"/>
      <w:szCs w:val="22"/>
    </w:rPr>
  </w:style>
  <w:style w:type="paragraph" w:customStyle="1" w:styleId="PRN">
    <w:name w:val="PRN"/>
    <w:basedOn w:val="Normal"/>
    <w:link w:val="PRNChar"/>
    <w:rsid w:val="00777BB0"/>
    <w:pPr>
      <w:pBdr>
        <w:top w:val="single" w:sz="6" w:space="1" w:color="auto" w:shadow="1"/>
        <w:left w:val="single" w:sz="6" w:space="4" w:color="auto" w:shadow="1"/>
        <w:bottom w:val="single" w:sz="6" w:space="1" w:color="auto" w:shadow="1"/>
        <w:right w:val="single" w:sz="6" w:space="4" w:color="auto" w:shadow="1"/>
      </w:pBdr>
      <w:shd w:val="pct20" w:color="FFFF00" w:fill="FFFFFF"/>
      <w:tabs>
        <w:tab w:val="left" w:pos="1440"/>
      </w:tabs>
      <w:spacing w:before="240"/>
      <w:ind w:left="1440" w:hanging="576"/>
    </w:pPr>
  </w:style>
  <w:style w:type="character" w:customStyle="1" w:styleId="PR2Char">
    <w:name w:val="PR2 Char"/>
    <w:link w:val="PR2"/>
    <w:rsid w:val="00777BB0"/>
    <w:rPr>
      <w:sz w:val="22"/>
    </w:rPr>
  </w:style>
  <w:style w:type="character" w:customStyle="1" w:styleId="PRNChar">
    <w:name w:val="PRN Char"/>
    <w:link w:val="PRN"/>
    <w:rsid w:val="00777BB0"/>
    <w:rPr>
      <w:sz w:val="22"/>
      <w:shd w:val="pct20" w:color="FFFF00" w:fill="FFFFFF"/>
    </w:rPr>
  </w:style>
  <w:style w:type="character" w:customStyle="1" w:styleId="MF04">
    <w:name w:val="MF04"/>
    <w:rsid w:val="00ED0675"/>
    <w:rPr>
      <w:color w:val="00CC00"/>
      <w:u w:val="single"/>
      <w:shd w:val="clear" w:color="auto" w:fill="auto"/>
    </w:rPr>
  </w:style>
  <w:style w:type="paragraph" w:customStyle="1" w:styleId="system">
    <w:name w:val="system"/>
    <w:basedOn w:val="Normal"/>
    <w:rsid w:val="001741D2"/>
    <w:pPr>
      <w:tabs>
        <w:tab w:val="left" w:pos="720"/>
        <w:tab w:val="left" w:pos="1440"/>
        <w:tab w:val="left" w:pos="2520"/>
        <w:tab w:val="right" w:pos="8640"/>
      </w:tabs>
      <w:ind w:left="720" w:hanging="720"/>
    </w:pPr>
    <w:rPr>
      <w:rFonts w:ascii="Arial" w:hAnsi="Arial"/>
      <w:sz w:val="20"/>
    </w:rPr>
  </w:style>
  <w:style w:type="paragraph" w:styleId="BodyText">
    <w:name w:val="Body Text"/>
    <w:basedOn w:val="Normal"/>
    <w:link w:val="BodyTextChar"/>
    <w:semiHidden/>
    <w:rsid w:val="001741D2"/>
    <w:rPr>
      <w:sz w:val="28"/>
      <w:szCs w:val="24"/>
    </w:rPr>
  </w:style>
  <w:style w:type="character" w:customStyle="1" w:styleId="BodyTextChar">
    <w:name w:val="Body Text Char"/>
    <w:basedOn w:val="DefaultParagraphFont"/>
    <w:link w:val="BodyText"/>
    <w:semiHidden/>
    <w:rsid w:val="001741D2"/>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1862</Words>
  <Characters>10618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SECTION 099123 - INTERIOR PAINTING</vt:lpstr>
    </vt:vector>
  </TitlesOfParts>
  <Company>Sherwin-Williams</Company>
  <LinksUpToDate>false</LinksUpToDate>
  <CharactersWithSpaces>12456</CharactersWithSpaces>
  <SharedDoc>false</SharedDoc>
  <HLinks>
    <vt:vector size="18" baseType="variant">
      <vt:variant>
        <vt:i4>5570583</vt:i4>
      </vt:variant>
      <vt:variant>
        <vt:i4>6</vt:i4>
      </vt:variant>
      <vt:variant>
        <vt:i4>0</vt:i4>
      </vt:variant>
      <vt:variant>
        <vt:i4>5</vt:i4>
      </vt:variant>
      <vt:variant>
        <vt:lpwstr>http://www.sherwin-williams.com/</vt:lpwstr>
      </vt:variant>
      <vt:variant>
        <vt:lpwstr/>
      </vt:variant>
      <vt:variant>
        <vt:i4>6291544</vt:i4>
      </vt:variant>
      <vt:variant>
        <vt:i4>3</vt:i4>
      </vt:variant>
      <vt:variant>
        <vt:i4>0</vt:i4>
      </vt:variant>
      <vt:variant>
        <vt:i4>5</vt:i4>
      </vt:variant>
      <vt:variant>
        <vt:lpwstr>mailto:specifications@sherwin.com</vt:lpwstr>
      </vt:variant>
      <vt:variant>
        <vt:lpwstr/>
      </vt:variant>
      <vt:variant>
        <vt:i4>131144</vt:i4>
      </vt:variant>
      <vt:variant>
        <vt:i4>0</vt:i4>
      </vt:variant>
      <vt:variant>
        <vt:i4>0</vt:i4>
      </vt:variant>
      <vt:variant>
        <vt:i4>5</vt:i4>
      </vt:variant>
      <vt:variant>
        <vt:lpwstr>https://www.sherwin-williams.com/architects-specifiers-designers/specifications/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099123 - INTERIOR PAINTING</dc:title>
  <dc:subject>INTERIOR PAINTING</dc:subject>
  <dc:creator>ARCOM, Inc.</dc:creator>
  <cp:keywords>BAS-12345-MS80</cp:keywords>
  <cp:lastModifiedBy>Austin Tebor</cp:lastModifiedBy>
  <cp:revision>2</cp:revision>
  <dcterms:created xsi:type="dcterms:W3CDTF">2022-12-05T21:50:00Z</dcterms:created>
  <dcterms:modified xsi:type="dcterms:W3CDTF">2022-12-05T21:50:00Z</dcterms:modified>
</cp:coreProperties>
</file>